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299D4" w14:textId="77777777" w:rsidR="001B3269" w:rsidRDefault="001B3269">
      <w:pPr>
        <w:pStyle w:val="Subtitle"/>
        <w:keepNext w:val="0"/>
        <w:keepLines w:val="0"/>
        <w:spacing w:after="160" w:line="360" w:lineRule="auto"/>
        <w:contextualSpacing w:val="0"/>
        <w:jc w:val="center"/>
        <w:rPr>
          <w:rFonts w:ascii="Times New Roman" w:eastAsia="Times New Roman" w:hAnsi="Times New Roman" w:cs="Times New Roman"/>
          <w:b/>
          <w:color w:val="000000"/>
          <w:sz w:val="48"/>
          <w:szCs w:val="48"/>
        </w:rPr>
      </w:pPr>
      <w:bookmarkStart w:id="0" w:name="_gjdgxs" w:colFirst="0" w:colLast="0"/>
      <w:bookmarkEnd w:id="0"/>
    </w:p>
    <w:p w14:paraId="0DE436B5" w14:textId="77777777" w:rsidR="001B3269" w:rsidRDefault="00CF6B9F">
      <w:pPr>
        <w:pStyle w:val="Subtitle"/>
        <w:keepNext w:val="0"/>
        <w:keepLines w:val="0"/>
        <w:spacing w:after="160" w:line="360" w:lineRule="auto"/>
        <w:contextualSpacing w:val="0"/>
        <w:jc w:val="center"/>
        <w:rPr>
          <w:rFonts w:ascii="Times New Roman" w:eastAsia="Times New Roman" w:hAnsi="Times New Roman" w:cs="Times New Roman"/>
          <w:b/>
          <w:color w:val="000000"/>
          <w:sz w:val="48"/>
          <w:szCs w:val="48"/>
        </w:rPr>
      </w:pPr>
      <w:bookmarkStart w:id="1" w:name="_push1vn5p3y6" w:colFirst="0" w:colLast="0"/>
      <w:bookmarkEnd w:id="1"/>
      <w:r>
        <w:rPr>
          <w:rFonts w:ascii="Times New Roman" w:eastAsia="Times New Roman" w:hAnsi="Times New Roman" w:cs="Times New Roman"/>
          <w:b/>
          <w:noProof/>
          <w:color w:val="000000"/>
          <w:sz w:val="48"/>
          <w:szCs w:val="48"/>
          <w:lang w:val="en-US"/>
        </w:rPr>
        <w:drawing>
          <wp:inline distT="0" distB="0" distL="114300" distR="114300" wp14:anchorId="7275A59F" wp14:editId="265FCC29">
            <wp:extent cx="4191000" cy="22764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191000" cy="2276475"/>
                    </a:xfrm>
                    <a:prstGeom prst="rect">
                      <a:avLst/>
                    </a:prstGeom>
                    <a:ln/>
                  </pic:spPr>
                </pic:pic>
              </a:graphicData>
            </a:graphic>
          </wp:inline>
        </w:drawing>
      </w:r>
    </w:p>
    <w:p w14:paraId="07136552" w14:textId="1A6708E5" w:rsidR="001B3269" w:rsidRDefault="00C5254D">
      <w:pPr>
        <w:pStyle w:val="Subtitle"/>
        <w:keepNext w:val="0"/>
        <w:keepLines w:val="0"/>
        <w:spacing w:after="160" w:line="360" w:lineRule="auto"/>
        <w:contextualSpacing w:val="0"/>
        <w:jc w:val="center"/>
        <w:rPr>
          <w:rFonts w:ascii="Times New Roman" w:eastAsia="Times New Roman" w:hAnsi="Times New Roman" w:cs="Times New Roman"/>
          <w:b/>
          <w:color w:val="000000"/>
          <w:sz w:val="48"/>
          <w:szCs w:val="48"/>
        </w:rPr>
      </w:pPr>
      <w:r>
        <w:rPr>
          <w:rFonts w:ascii="Times New Roman" w:eastAsia="Times New Roman" w:hAnsi="Times New Roman" w:cs="Times New Roman"/>
          <w:b/>
          <w:color w:val="000000"/>
          <w:sz w:val="48"/>
          <w:szCs w:val="48"/>
        </w:rPr>
        <w:t xml:space="preserve">City of </w:t>
      </w:r>
      <w:r w:rsidR="00EA0200">
        <w:rPr>
          <w:rFonts w:ascii="Times New Roman" w:eastAsia="Times New Roman" w:hAnsi="Times New Roman" w:cs="Times New Roman"/>
          <w:b/>
          <w:color w:val="000000"/>
          <w:sz w:val="48"/>
          <w:szCs w:val="48"/>
        </w:rPr>
        <w:t>Brookshire</w:t>
      </w:r>
    </w:p>
    <w:p w14:paraId="0E22AAAC" w14:textId="77777777" w:rsidR="001B3269" w:rsidRDefault="00CF6B9F">
      <w:pPr>
        <w:pStyle w:val="Subtitle"/>
        <w:keepNext w:val="0"/>
        <w:keepLines w:val="0"/>
        <w:spacing w:after="160" w:line="360" w:lineRule="auto"/>
        <w:contextualSpacing w:val="0"/>
        <w:jc w:val="center"/>
        <w:rPr>
          <w:rFonts w:ascii="Times New Roman" w:eastAsia="Times New Roman" w:hAnsi="Times New Roman" w:cs="Times New Roman"/>
          <w:b/>
          <w:color w:val="000000"/>
          <w:sz w:val="48"/>
          <w:szCs w:val="48"/>
        </w:rPr>
      </w:pPr>
      <w:r>
        <w:rPr>
          <w:rFonts w:ascii="Times New Roman" w:eastAsia="Times New Roman" w:hAnsi="Times New Roman" w:cs="Times New Roman"/>
          <w:b/>
          <w:color w:val="000000"/>
          <w:sz w:val="48"/>
          <w:szCs w:val="48"/>
        </w:rPr>
        <w:t>2016 Floods</w:t>
      </w:r>
    </w:p>
    <w:p w14:paraId="62FA3E95" w14:textId="77777777" w:rsidR="001B3269" w:rsidRDefault="00CF6B9F">
      <w:pPr>
        <w:pStyle w:val="Subtitle"/>
        <w:keepNext w:val="0"/>
        <w:keepLines w:val="0"/>
        <w:spacing w:after="160" w:line="360" w:lineRule="auto"/>
        <w:contextualSpacing w:val="0"/>
        <w:jc w:val="center"/>
        <w:rPr>
          <w:rFonts w:ascii="Times New Roman" w:eastAsia="Times New Roman" w:hAnsi="Times New Roman" w:cs="Times New Roman"/>
          <w:b/>
          <w:color w:val="000000"/>
          <w:sz w:val="48"/>
          <w:szCs w:val="48"/>
        </w:rPr>
      </w:pPr>
      <w:r>
        <w:rPr>
          <w:rFonts w:ascii="Times New Roman" w:eastAsia="Times New Roman" w:hAnsi="Times New Roman" w:cs="Times New Roman"/>
          <w:b/>
          <w:color w:val="000000"/>
          <w:sz w:val="48"/>
          <w:szCs w:val="48"/>
        </w:rPr>
        <w:t>Disaster Recovery</w:t>
      </w:r>
    </w:p>
    <w:p w14:paraId="353FB983" w14:textId="77777777" w:rsidR="001B3269" w:rsidRDefault="00CF6B9F">
      <w:pPr>
        <w:pStyle w:val="Subtitle"/>
        <w:keepNext w:val="0"/>
        <w:keepLines w:val="0"/>
        <w:spacing w:after="160" w:line="360" w:lineRule="auto"/>
        <w:contextualSpacing w:val="0"/>
        <w:jc w:val="center"/>
        <w:rPr>
          <w:color w:val="006600"/>
        </w:rPr>
      </w:pPr>
      <w:bookmarkStart w:id="2" w:name="_30j0zll" w:colFirst="0" w:colLast="0"/>
      <w:bookmarkEnd w:id="2"/>
      <w:r>
        <w:rPr>
          <w:rFonts w:ascii="Times New Roman" w:eastAsia="Times New Roman" w:hAnsi="Times New Roman" w:cs="Times New Roman"/>
          <w:b/>
          <w:color w:val="006600"/>
          <w:sz w:val="48"/>
          <w:szCs w:val="48"/>
        </w:rPr>
        <w:t>Needs Assessment</w:t>
      </w:r>
    </w:p>
    <w:p w14:paraId="68BCB931" w14:textId="77777777" w:rsidR="001B3269" w:rsidRDefault="001B3269">
      <w:pPr>
        <w:contextualSpacing w:val="0"/>
      </w:pPr>
    </w:p>
    <w:p w14:paraId="2B198E81" w14:textId="77777777" w:rsidR="001B3269" w:rsidRDefault="001B3269">
      <w:pPr>
        <w:contextualSpacing w:val="0"/>
      </w:pPr>
    </w:p>
    <w:p w14:paraId="0E7CAE74" w14:textId="77777777" w:rsidR="001B3269" w:rsidRDefault="001B3269">
      <w:pPr>
        <w:contextualSpacing w:val="0"/>
      </w:pPr>
    </w:p>
    <w:p w14:paraId="603D4578" w14:textId="77777777" w:rsidR="001B3269" w:rsidRDefault="00CF6B9F">
      <w:pPr>
        <w:contextualSpacing w:val="0"/>
      </w:pPr>
      <w:r>
        <w:br w:type="page"/>
      </w:r>
    </w:p>
    <w:p w14:paraId="299F08AD" w14:textId="77777777" w:rsidR="001B3269" w:rsidRDefault="00CF6B9F">
      <w:pPr>
        <w:pStyle w:val="Heading1"/>
        <w:contextualSpacing w:val="0"/>
        <w:jc w:val="both"/>
        <w:rPr>
          <w:b/>
          <w:color w:val="006600"/>
          <w:sz w:val="36"/>
          <w:szCs w:val="36"/>
        </w:rPr>
      </w:pPr>
      <w:bookmarkStart w:id="3" w:name="_1fob9te" w:colFirst="0" w:colLast="0"/>
      <w:bookmarkEnd w:id="3"/>
      <w:r>
        <w:rPr>
          <w:b/>
          <w:color w:val="006600"/>
          <w:sz w:val="36"/>
          <w:szCs w:val="36"/>
        </w:rPr>
        <w:lastRenderedPageBreak/>
        <w:t>Introduction</w:t>
      </w:r>
    </w:p>
    <w:p w14:paraId="473B750F" w14:textId="478D8F74" w:rsidR="004724F6" w:rsidRDefault="004724F6">
      <w:pPr>
        <w:contextualSpacing w:val="0"/>
        <w:jc w:val="both"/>
      </w:pPr>
    </w:p>
    <w:p w14:paraId="4C458FF3" w14:textId="77777777" w:rsidR="001B3269" w:rsidRDefault="001B3269">
      <w:pPr>
        <w:contextualSpacing w:val="0"/>
        <w:jc w:val="both"/>
      </w:pPr>
    </w:p>
    <w:p w14:paraId="1548D2B4" w14:textId="1D317CA1" w:rsidR="00737884" w:rsidRDefault="00DE3BB9">
      <w:pPr>
        <w:contextualSpacing w:val="0"/>
        <w:jc w:val="both"/>
      </w:pPr>
      <w:r>
        <w:t xml:space="preserve">The City of Brookshire, Texas experienced a catastrophic flood event in April 2016. </w:t>
      </w:r>
      <w:r w:rsidR="000606E8">
        <w:t>Beginning A</w:t>
      </w:r>
      <w:r>
        <w:t>pril 26th</w:t>
      </w:r>
      <w:r w:rsidR="000606E8">
        <w:t xml:space="preserve">, significant rainfall occurred over the north and northwestern parts of Harris, Waller, Montgomery and Washington Counties. </w:t>
      </w:r>
      <w:r w:rsidR="00C129A6">
        <w:t>Above average moisture levels combined with upper level wind patterns led to excessive rainfall and thunderstorms on the afternoon of the 26</w:t>
      </w:r>
      <w:r w:rsidR="00C129A6" w:rsidRPr="007E764D">
        <w:rPr>
          <w:vertAlign w:val="superscript"/>
        </w:rPr>
        <w:t>th</w:t>
      </w:r>
      <w:r w:rsidR="00C129A6">
        <w:t xml:space="preserve"> and into the early morning of the 27</w:t>
      </w:r>
      <w:r w:rsidR="00C129A6" w:rsidRPr="007E764D">
        <w:rPr>
          <w:vertAlign w:val="superscript"/>
        </w:rPr>
        <w:t>th</w:t>
      </w:r>
      <w:r w:rsidR="00C129A6">
        <w:t xml:space="preserve">. </w:t>
      </w:r>
      <w:r w:rsidR="000606E8">
        <w:t>During this time, a record-setting 16.5 inches of rain caused th</w:t>
      </w:r>
      <w:r w:rsidR="005E3B0B">
        <w:t>e Brazos River to flood its banks</w:t>
      </w:r>
      <w:r w:rsidR="000606E8">
        <w:t xml:space="preserve"> and wreak devastation on the surrounding counties</w:t>
      </w:r>
      <w:r w:rsidR="00370C83">
        <w:rPr>
          <w:rStyle w:val="FootnoteReference"/>
        </w:rPr>
        <w:footnoteReference w:id="1"/>
      </w:r>
      <w:r w:rsidR="000606E8">
        <w:t xml:space="preserve">. </w:t>
      </w:r>
      <w:r w:rsidR="00330341">
        <w:t>The majority of the area within the corporate limits of Brookshire drains into Brookshire Creek and that creek is one of the tributaries of the Brazos River</w:t>
      </w:r>
      <w:r w:rsidR="000837DA">
        <w:t xml:space="preserve"> causing the city to be subject to flooding</w:t>
      </w:r>
      <w:r w:rsidR="00EA3019">
        <w:rPr>
          <w:rStyle w:val="FootnoteReference"/>
        </w:rPr>
        <w:footnoteReference w:id="2"/>
      </w:r>
      <w:r w:rsidR="000837DA">
        <w:t>.</w:t>
      </w:r>
    </w:p>
    <w:p w14:paraId="4B901E3C" w14:textId="77777777" w:rsidR="007F38D0" w:rsidRDefault="007F38D0">
      <w:pPr>
        <w:contextualSpacing w:val="0"/>
        <w:jc w:val="both"/>
      </w:pPr>
    </w:p>
    <w:p w14:paraId="23B03E03" w14:textId="77777777" w:rsidR="001B3269" w:rsidRDefault="00CF6B9F">
      <w:pPr>
        <w:contextualSpacing w:val="0"/>
        <w:jc w:val="both"/>
      </w:pPr>
      <w:r>
        <w:t>HUD requires recipients of CDBG‐DR funds to assess both direct and indirect impacts from disasters and conduct an “Unmet Needs” assessment for the three major categories of Housing, Infrastructure, and Economic Revitalization. This document will focus on Unmet Housing Needs.</w:t>
      </w:r>
    </w:p>
    <w:p w14:paraId="3B47BFAC" w14:textId="77777777" w:rsidR="001B3269" w:rsidRDefault="001B3269">
      <w:pPr>
        <w:contextualSpacing w:val="0"/>
        <w:jc w:val="both"/>
      </w:pPr>
    </w:p>
    <w:p w14:paraId="691D0F2B" w14:textId="788D7C67" w:rsidR="001B3269" w:rsidRDefault="00CF6B9F">
      <w:pPr>
        <w:contextualSpacing w:val="0"/>
        <w:jc w:val="both"/>
      </w:pPr>
      <w:r>
        <w:t>The C</w:t>
      </w:r>
      <w:r w:rsidR="00485056">
        <w:t>ity</w:t>
      </w:r>
      <w:r>
        <w:t xml:space="preserve">’s recovery efforts </w:t>
      </w:r>
      <w:r w:rsidR="005A6EE6">
        <w:t xml:space="preserve">will focus </w:t>
      </w:r>
      <w:r>
        <w:t>on</w:t>
      </w:r>
      <w:r w:rsidR="00485056">
        <w:t xml:space="preserve"> rehabilitating, reconstructing and/or elevating homes th</w:t>
      </w:r>
      <w:r w:rsidR="00CB2442">
        <w:t xml:space="preserve">at were impacted by the storm. </w:t>
      </w:r>
      <w:r w:rsidR="00485056">
        <w:t>The City will be prioritizing homes owned and occupied by low-to-moderate income residents who saw a higher impact of loss from the storm da</w:t>
      </w:r>
      <w:r w:rsidR="00CB2442">
        <w:t>mage.</w:t>
      </w:r>
    </w:p>
    <w:p w14:paraId="7F0919CA" w14:textId="77777777" w:rsidR="001B3269" w:rsidRDefault="001B3269">
      <w:pPr>
        <w:contextualSpacing w:val="0"/>
        <w:jc w:val="both"/>
      </w:pPr>
    </w:p>
    <w:p w14:paraId="01AA8A24" w14:textId="45E821C0" w:rsidR="001B3269" w:rsidRDefault="00CF6B9F">
      <w:pPr>
        <w:contextualSpacing w:val="0"/>
        <w:jc w:val="both"/>
      </w:pPr>
      <w:r>
        <w:t xml:space="preserve">Developing an accurate and comprehensive representation of flood damage and remaining housing needs in </w:t>
      </w:r>
      <w:r w:rsidR="008442EC">
        <w:t xml:space="preserve">the City of </w:t>
      </w:r>
      <w:r w:rsidR="00EA0200">
        <w:t>Brookshire</w:t>
      </w:r>
      <w:r>
        <w:t xml:space="preserve"> required detailed identification and documentation. Recording the costs associated with damages is an important step in understanding where the </w:t>
      </w:r>
      <w:r w:rsidR="008442EC">
        <w:t xml:space="preserve">city </w:t>
      </w:r>
      <w:r>
        <w:t xml:space="preserve">is in the recovery process and the amount of additional funding needed to continue that process. For this assessment of unmet disaster need, the impact of the 2016 flood was determined through data collection from the various communities within </w:t>
      </w:r>
      <w:r w:rsidR="008442EC">
        <w:t xml:space="preserve">the City of </w:t>
      </w:r>
      <w:r w:rsidR="00EA0200">
        <w:t>Brookshire</w:t>
      </w:r>
      <w:r>
        <w:t>. Much of the data was</w:t>
      </w:r>
      <w:r w:rsidR="00B01193">
        <w:t xml:space="preserve"> provided by the FEMA, the GLO, </w:t>
      </w:r>
      <w:r>
        <w:t>and the State of Texas Plan for Disaster Recovery.</w:t>
      </w:r>
    </w:p>
    <w:p w14:paraId="06823C95" w14:textId="77777777" w:rsidR="001B3269" w:rsidRDefault="00CF6B9F">
      <w:pPr>
        <w:pStyle w:val="Heading1"/>
        <w:pBdr>
          <w:top w:val="nil"/>
          <w:left w:val="nil"/>
          <w:bottom w:val="nil"/>
          <w:right w:val="nil"/>
          <w:between w:val="nil"/>
        </w:pBdr>
        <w:contextualSpacing w:val="0"/>
        <w:jc w:val="both"/>
        <w:rPr>
          <w:b/>
          <w:color w:val="006600"/>
          <w:sz w:val="36"/>
          <w:szCs w:val="36"/>
        </w:rPr>
      </w:pPr>
      <w:bookmarkStart w:id="4" w:name="_3znysh7" w:colFirst="0" w:colLast="0"/>
      <w:bookmarkEnd w:id="4"/>
      <w:r>
        <w:rPr>
          <w:b/>
          <w:color w:val="006600"/>
          <w:sz w:val="36"/>
          <w:szCs w:val="36"/>
        </w:rPr>
        <w:t>Baseline Data</w:t>
      </w:r>
    </w:p>
    <w:p w14:paraId="4D5AC7C5" w14:textId="29BDC8EF" w:rsidR="001B3269" w:rsidRDefault="00CF6B9F">
      <w:pPr>
        <w:contextualSpacing w:val="0"/>
        <w:jc w:val="both"/>
      </w:pPr>
      <w:r>
        <w:t xml:space="preserve">The flooding in 2016 caused tremendous damage to homes and property in </w:t>
      </w:r>
      <w:r w:rsidR="00BA755A">
        <w:t xml:space="preserve">the City of </w:t>
      </w:r>
      <w:r w:rsidR="00EA0200">
        <w:t>Brookshire</w:t>
      </w:r>
      <w:r>
        <w:t>. Many residents forced from their homes during the initial flood still find themselves displaced. After the flood waters receded, homes were evaluated and residents were faced with the need to repair and rehabilitate their dwellings, find ways to access their properties, and in some cases make the difficult decision that homes could not be repaired or rebuilt.</w:t>
      </w:r>
    </w:p>
    <w:p w14:paraId="2EAE9E69" w14:textId="77777777" w:rsidR="001B3269" w:rsidRDefault="001B3269">
      <w:pPr>
        <w:contextualSpacing w:val="0"/>
        <w:jc w:val="both"/>
      </w:pPr>
    </w:p>
    <w:p w14:paraId="0BB3D0D6" w14:textId="59D984AB" w:rsidR="00E31920" w:rsidRDefault="00CF6B9F">
      <w:pPr>
        <w:contextualSpacing w:val="0"/>
        <w:jc w:val="both"/>
      </w:pPr>
      <w:r w:rsidRPr="003E4722">
        <w:t xml:space="preserve">More than </w:t>
      </w:r>
      <w:r w:rsidR="004B50FB" w:rsidRPr="003E4722">
        <w:t>446</w:t>
      </w:r>
      <w:r w:rsidR="0058171C" w:rsidRPr="003E4722">
        <w:t xml:space="preserve"> </w:t>
      </w:r>
      <w:r w:rsidRPr="003E4722">
        <w:t xml:space="preserve">homes sustained flood damages throughout the </w:t>
      </w:r>
      <w:r w:rsidR="00075D18" w:rsidRPr="003E4722">
        <w:t>City</w:t>
      </w:r>
      <w:r w:rsidRPr="003E4722">
        <w:t>. Based on th</w:t>
      </w:r>
      <w:r w:rsidRPr="00FA4446">
        <w:t>e</w:t>
      </w:r>
      <w:r>
        <w:t xml:space="preserve"> </w:t>
      </w:r>
      <w:r w:rsidRPr="00A829F0">
        <w:rPr>
          <w:b/>
        </w:rPr>
        <w:t>FEMA IA data</w:t>
      </w:r>
      <w:r>
        <w:t xml:space="preserve"> provided by the General Land Office, </w:t>
      </w:r>
      <w:r w:rsidR="004B50FB">
        <w:t>324</w:t>
      </w:r>
      <w:r w:rsidR="00D60DA1">
        <w:t xml:space="preserve"> </w:t>
      </w:r>
      <w:r>
        <w:t xml:space="preserve">impacted families are Low to Moderate Income (LMI) </w:t>
      </w:r>
    </w:p>
    <w:p w14:paraId="7BFFE221" w14:textId="0C5F4C15" w:rsidR="001B3269" w:rsidRDefault="00CF6B9F">
      <w:pPr>
        <w:contextualSpacing w:val="0"/>
        <w:jc w:val="both"/>
      </w:pPr>
      <w:r>
        <w:lastRenderedPageBreak/>
        <w:t xml:space="preserve">households. Finding short‐term or long‐term housing solutions is a challenge for </w:t>
      </w:r>
      <w:r w:rsidR="00954A22">
        <w:t xml:space="preserve">the City of Wharton </w:t>
      </w:r>
      <w:r>
        <w:t xml:space="preserve">and its communities. Affordable housing for low and very low income families is a huge need for these communities. </w:t>
      </w:r>
    </w:p>
    <w:p w14:paraId="4DE8D170" w14:textId="77777777" w:rsidR="001B3269" w:rsidRDefault="001B3269">
      <w:pPr>
        <w:contextualSpacing w:val="0"/>
        <w:jc w:val="both"/>
      </w:pPr>
    </w:p>
    <w:p w14:paraId="3EF666CB" w14:textId="77777777" w:rsidR="00E31920" w:rsidRDefault="00E31920">
      <w:pPr>
        <w:contextualSpacing w:val="0"/>
        <w:jc w:val="both"/>
      </w:pPr>
    </w:p>
    <w:p w14:paraId="77B79704" w14:textId="285A3C55" w:rsidR="001B3269" w:rsidRDefault="00CF6B9F">
      <w:pPr>
        <w:contextualSpacing w:val="0"/>
        <w:jc w:val="both"/>
        <w:rPr>
          <w:highlight w:val="white"/>
        </w:rPr>
      </w:pPr>
      <w:r>
        <w:rPr>
          <w:highlight w:val="white"/>
        </w:rPr>
        <w:t xml:space="preserve">The </w:t>
      </w:r>
      <w:r>
        <w:rPr>
          <w:b/>
          <w:highlight w:val="white"/>
        </w:rPr>
        <w:t>2016 HUD income limits</w:t>
      </w:r>
      <w:r>
        <w:rPr>
          <w:highlight w:val="white"/>
        </w:rPr>
        <w:t xml:space="preserve"> for </w:t>
      </w:r>
      <w:r w:rsidR="00FE2FA0">
        <w:rPr>
          <w:highlight w:val="white"/>
        </w:rPr>
        <w:t>the City of</w:t>
      </w:r>
      <w:r w:rsidR="00EA0200">
        <w:rPr>
          <w:highlight w:val="white"/>
        </w:rPr>
        <w:t xml:space="preserve"> Brookshire</w:t>
      </w:r>
      <w:r>
        <w:rPr>
          <w:highlight w:val="white"/>
        </w:rPr>
        <w:t xml:space="preserve"> at the time of the event are calculated using Average Median Family Income (AMFI) for a particular household size: </w:t>
      </w:r>
    </w:p>
    <w:p w14:paraId="592972C8" w14:textId="77777777" w:rsidR="001B3269" w:rsidRDefault="001B3269">
      <w:pPr>
        <w:contextualSpacing w:val="0"/>
        <w:rPr>
          <w:highlight w:val="white"/>
        </w:rPr>
      </w:pPr>
    </w:p>
    <w:tbl>
      <w:tblPr>
        <w:tblStyle w:val="a"/>
        <w:tblW w:w="8640" w:type="dxa"/>
        <w:tblInd w:w="113" w:type="dxa"/>
        <w:tblLayout w:type="fixed"/>
        <w:tblLook w:val="0400" w:firstRow="0" w:lastRow="0" w:firstColumn="0" w:lastColumn="0" w:noHBand="0" w:noVBand="1"/>
      </w:tblPr>
      <w:tblGrid>
        <w:gridCol w:w="960"/>
        <w:gridCol w:w="960"/>
        <w:gridCol w:w="960"/>
        <w:gridCol w:w="902"/>
        <w:gridCol w:w="1018"/>
        <w:gridCol w:w="960"/>
        <w:gridCol w:w="960"/>
        <w:gridCol w:w="960"/>
        <w:gridCol w:w="960"/>
      </w:tblGrid>
      <w:tr w:rsidR="001B3269" w14:paraId="07B0C199" w14:textId="77777777">
        <w:trPr>
          <w:trHeight w:val="30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26254617" w14:textId="77777777" w:rsidR="001B3269" w:rsidRDefault="00CF6B9F">
            <w:pPr>
              <w:spacing w:line="240" w:lineRule="auto"/>
              <w:contextualSpacing w:val="0"/>
              <w:jc w:val="center"/>
              <w:rPr>
                <w:rFonts w:ascii="Calibri" w:eastAsia="Calibri" w:hAnsi="Calibri" w:cs="Calibri"/>
                <w:b/>
                <w:color w:val="000000"/>
              </w:rPr>
            </w:pPr>
            <w:r>
              <w:rPr>
                <w:rFonts w:ascii="Calibri" w:eastAsia="Calibri" w:hAnsi="Calibri" w:cs="Calibri"/>
                <w:b/>
                <w:color w:val="000000"/>
              </w:rPr>
              <w:t>AMFI %</w:t>
            </w:r>
          </w:p>
        </w:tc>
        <w:tc>
          <w:tcPr>
            <w:tcW w:w="7680" w:type="dxa"/>
            <w:gridSpan w:val="8"/>
            <w:tcBorders>
              <w:top w:val="single" w:sz="4" w:space="0" w:color="000000"/>
              <w:left w:val="nil"/>
              <w:bottom w:val="single" w:sz="4" w:space="0" w:color="000000"/>
              <w:right w:val="single" w:sz="4" w:space="0" w:color="000000"/>
            </w:tcBorders>
            <w:shd w:val="clear" w:color="auto" w:fill="FFFFFF"/>
            <w:vAlign w:val="bottom"/>
          </w:tcPr>
          <w:p w14:paraId="7EFE9540" w14:textId="77777777" w:rsidR="001B3269" w:rsidRDefault="00CF6B9F">
            <w:pPr>
              <w:spacing w:line="240" w:lineRule="auto"/>
              <w:contextualSpacing w:val="0"/>
              <w:jc w:val="center"/>
              <w:rPr>
                <w:rFonts w:ascii="Calibri" w:eastAsia="Calibri" w:hAnsi="Calibri" w:cs="Calibri"/>
                <w:b/>
                <w:color w:val="000000"/>
              </w:rPr>
            </w:pPr>
            <w:r>
              <w:rPr>
                <w:rFonts w:ascii="Calibri" w:eastAsia="Calibri" w:hAnsi="Calibri" w:cs="Calibri"/>
                <w:b/>
                <w:color w:val="000000"/>
              </w:rPr>
              <w:t>Number of Household Members</w:t>
            </w:r>
          </w:p>
        </w:tc>
      </w:tr>
      <w:tr w:rsidR="001B3269" w14:paraId="066945B8" w14:textId="77777777" w:rsidTr="006F11AB">
        <w:trPr>
          <w:trHeight w:val="300"/>
        </w:trPr>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22FFBC1D" w14:textId="77777777" w:rsidR="001B3269" w:rsidRDefault="001B3269">
            <w:pPr>
              <w:widowControl w:val="0"/>
              <w:pBdr>
                <w:top w:val="nil"/>
                <w:left w:val="nil"/>
                <w:bottom w:val="nil"/>
                <w:right w:val="nil"/>
                <w:between w:val="nil"/>
              </w:pBdr>
              <w:contextualSpacing w:val="0"/>
              <w:rPr>
                <w:rFonts w:ascii="Calibri" w:eastAsia="Calibri" w:hAnsi="Calibri" w:cs="Calibri"/>
                <w:b/>
                <w:color w:val="000000"/>
              </w:rPr>
            </w:pPr>
          </w:p>
        </w:tc>
        <w:tc>
          <w:tcPr>
            <w:tcW w:w="960" w:type="dxa"/>
            <w:tcBorders>
              <w:top w:val="nil"/>
              <w:left w:val="nil"/>
              <w:bottom w:val="single" w:sz="4" w:space="0" w:color="000000"/>
              <w:right w:val="nil"/>
            </w:tcBorders>
            <w:shd w:val="clear" w:color="auto" w:fill="FFFFFF"/>
            <w:vAlign w:val="bottom"/>
          </w:tcPr>
          <w:p w14:paraId="47E05A7C" w14:textId="77777777" w:rsidR="001B3269" w:rsidRDefault="00CF6B9F">
            <w:pPr>
              <w:spacing w:line="240" w:lineRule="auto"/>
              <w:ind w:firstLine="440"/>
              <w:contextualSpacing w:val="0"/>
              <w:jc w:val="center"/>
              <w:rPr>
                <w:rFonts w:ascii="Calibri" w:eastAsia="Calibri" w:hAnsi="Calibri" w:cs="Calibri"/>
                <w:color w:val="000000"/>
              </w:rPr>
            </w:pPr>
            <w:r>
              <w:rPr>
                <w:rFonts w:ascii="Calibri" w:eastAsia="Calibri" w:hAnsi="Calibri" w:cs="Calibri"/>
                <w:color w:val="000000"/>
              </w:rPr>
              <w:t>1</w:t>
            </w:r>
          </w:p>
        </w:tc>
        <w:tc>
          <w:tcPr>
            <w:tcW w:w="960" w:type="dxa"/>
            <w:tcBorders>
              <w:top w:val="nil"/>
              <w:left w:val="nil"/>
              <w:bottom w:val="single" w:sz="4" w:space="0" w:color="000000"/>
              <w:right w:val="nil"/>
            </w:tcBorders>
            <w:shd w:val="clear" w:color="auto" w:fill="FFFFFF"/>
            <w:vAlign w:val="bottom"/>
          </w:tcPr>
          <w:p w14:paraId="04FC187F" w14:textId="77777777" w:rsidR="001B3269" w:rsidRDefault="00CF6B9F">
            <w:pPr>
              <w:spacing w:line="240" w:lineRule="auto"/>
              <w:ind w:firstLine="440"/>
              <w:contextualSpacing w:val="0"/>
              <w:jc w:val="center"/>
              <w:rPr>
                <w:rFonts w:ascii="Calibri" w:eastAsia="Calibri" w:hAnsi="Calibri" w:cs="Calibri"/>
                <w:color w:val="000000"/>
              </w:rPr>
            </w:pPr>
            <w:r>
              <w:rPr>
                <w:rFonts w:ascii="Calibri" w:eastAsia="Calibri" w:hAnsi="Calibri" w:cs="Calibri"/>
                <w:color w:val="000000"/>
              </w:rPr>
              <w:t>2</w:t>
            </w:r>
          </w:p>
        </w:tc>
        <w:tc>
          <w:tcPr>
            <w:tcW w:w="902" w:type="dxa"/>
            <w:tcBorders>
              <w:top w:val="nil"/>
              <w:left w:val="nil"/>
              <w:bottom w:val="single" w:sz="4" w:space="0" w:color="000000"/>
              <w:right w:val="nil"/>
            </w:tcBorders>
            <w:shd w:val="clear" w:color="auto" w:fill="FFFFFF"/>
            <w:vAlign w:val="bottom"/>
          </w:tcPr>
          <w:p w14:paraId="5644849F" w14:textId="77777777" w:rsidR="001B3269" w:rsidRDefault="00CF6B9F">
            <w:pPr>
              <w:spacing w:line="240" w:lineRule="auto"/>
              <w:ind w:firstLine="440"/>
              <w:contextualSpacing w:val="0"/>
              <w:jc w:val="center"/>
              <w:rPr>
                <w:rFonts w:ascii="Calibri" w:eastAsia="Calibri" w:hAnsi="Calibri" w:cs="Calibri"/>
                <w:color w:val="000000"/>
              </w:rPr>
            </w:pPr>
            <w:r>
              <w:rPr>
                <w:rFonts w:ascii="Calibri" w:eastAsia="Calibri" w:hAnsi="Calibri" w:cs="Calibri"/>
                <w:color w:val="000000"/>
              </w:rPr>
              <w:t>3</w:t>
            </w:r>
          </w:p>
        </w:tc>
        <w:tc>
          <w:tcPr>
            <w:tcW w:w="1018" w:type="dxa"/>
            <w:tcBorders>
              <w:top w:val="nil"/>
              <w:left w:val="nil"/>
              <w:bottom w:val="single" w:sz="4" w:space="0" w:color="000000"/>
              <w:right w:val="nil"/>
            </w:tcBorders>
            <w:shd w:val="clear" w:color="auto" w:fill="FFFFFF"/>
            <w:vAlign w:val="bottom"/>
          </w:tcPr>
          <w:p w14:paraId="1DA0A25A" w14:textId="77777777" w:rsidR="001B3269" w:rsidRDefault="00CF6B9F">
            <w:pPr>
              <w:spacing w:line="240" w:lineRule="auto"/>
              <w:ind w:firstLine="440"/>
              <w:contextualSpacing w:val="0"/>
              <w:jc w:val="center"/>
              <w:rPr>
                <w:rFonts w:ascii="Calibri" w:eastAsia="Calibri" w:hAnsi="Calibri" w:cs="Calibri"/>
                <w:color w:val="000000"/>
              </w:rPr>
            </w:pPr>
            <w:r>
              <w:rPr>
                <w:rFonts w:ascii="Calibri" w:eastAsia="Calibri" w:hAnsi="Calibri" w:cs="Calibri"/>
                <w:color w:val="000000"/>
              </w:rPr>
              <w:t>4</w:t>
            </w:r>
          </w:p>
        </w:tc>
        <w:tc>
          <w:tcPr>
            <w:tcW w:w="960" w:type="dxa"/>
            <w:tcBorders>
              <w:top w:val="nil"/>
              <w:left w:val="nil"/>
              <w:bottom w:val="single" w:sz="4" w:space="0" w:color="000000"/>
              <w:right w:val="nil"/>
            </w:tcBorders>
            <w:shd w:val="clear" w:color="auto" w:fill="FFFFFF"/>
            <w:vAlign w:val="bottom"/>
          </w:tcPr>
          <w:p w14:paraId="36812153" w14:textId="77777777" w:rsidR="001B3269" w:rsidRDefault="00CF6B9F">
            <w:pPr>
              <w:spacing w:line="240" w:lineRule="auto"/>
              <w:ind w:firstLine="440"/>
              <w:contextualSpacing w:val="0"/>
              <w:jc w:val="center"/>
              <w:rPr>
                <w:rFonts w:ascii="Calibri" w:eastAsia="Calibri" w:hAnsi="Calibri" w:cs="Calibri"/>
                <w:color w:val="000000"/>
              </w:rPr>
            </w:pPr>
            <w:r>
              <w:rPr>
                <w:rFonts w:ascii="Calibri" w:eastAsia="Calibri" w:hAnsi="Calibri" w:cs="Calibri"/>
                <w:color w:val="000000"/>
              </w:rPr>
              <w:t>5</w:t>
            </w:r>
          </w:p>
        </w:tc>
        <w:tc>
          <w:tcPr>
            <w:tcW w:w="960" w:type="dxa"/>
            <w:tcBorders>
              <w:top w:val="nil"/>
              <w:left w:val="nil"/>
              <w:bottom w:val="single" w:sz="4" w:space="0" w:color="000000"/>
              <w:right w:val="nil"/>
            </w:tcBorders>
            <w:shd w:val="clear" w:color="auto" w:fill="FFFFFF"/>
            <w:vAlign w:val="bottom"/>
          </w:tcPr>
          <w:p w14:paraId="12E843B3" w14:textId="77777777" w:rsidR="001B3269" w:rsidRDefault="00CF6B9F">
            <w:pPr>
              <w:spacing w:line="240" w:lineRule="auto"/>
              <w:ind w:firstLine="440"/>
              <w:contextualSpacing w:val="0"/>
              <w:jc w:val="center"/>
              <w:rPr>
                <w:rFonts w:ascii="Calibri" w:eastAsia="Calibri" w:hAnsi="Calibri" w:cs="Calibri"/>
                <w:color w:val="000000"/>
              </w:rPr>
            </w:pPr>
            <w:r>
              <w:rPr>
                <w:rFonts w:ascii="Calibri" w:eastAsia="Calibri" w:hAnsi="Calibri" w:cs="Calibri"/>
                <w:color w:val="000000"/>
              </w:rPr>
              <w:t>6</w:t>
            </w:r>
          </w:p>
        </w:tc>
        <w:tc>
          <w:tcPr>
            <w:tcW w:w="960" w:type="dxa"/>
            <w:tcBorders>
              <w:top w:val="nil"/>
              <w:left w:val="nil"/>
              <w:bottom w:val="single" w:sz="4" w:space="0" w:color="000000"/>
              <w:right w:val="nil"/>
            </w:tcBorders>
            <w:shd w:val="clear" w:color="auto" w:fill="FFFFFF"/>
            <w:vAlign w:val="bottom"/>
          </w:tcPr>
          <w:p w14:paraId="7379D5A2" w14:textId="77777777" w:rsidR="001B3269" w:rsidRDefault="00CF6B9F">
            <w:pPr>
              <w:spacing w:line="240" w:lineRule="auto"/>
              <w:ind w:firstLine="440"/>
              <w:contextualSpacing w:val="0"/>
              <w:jc w:val="center"/>
              <w:rPr>
                <w:rFonts w:ascii="Calibri" w:eastAsia="Calibri" w:hAnsi="Calibri" w:cs="Calibri"/>
                <w:color w:val="000000"/>
              </w:rPr>
            </w:pPr>
            <w:r>
              <w:rPr>
                <w:rFonts w:ascii="Calibri" w:eastAsia="Calibri" w:hAnsi="Calibri" w:cs="Calibri"/>
                <w:color w:val="000000"/>
              </w:rPr>
              <w:t>7</w:t>
            </w:r>
          </w:p>
        </w:tc>
        <w:tc>
          <w:tcPr>
            <w:tcW w:w="960" w:type="dxa"/>
            <w:tcBorders>
              <w:top w:val="nil"/>
              <w:left w:val="nil"/>
              <w:bottom w:val="single" w:sz="4" w:space="0" w:color="000000"/>
              <w:right w:val="single" w:sz="4" w:space="0" w:color="000000"/>
            </w:tcBorders>
            <w:shd w:val="clear" w:color="auto" w:fill="FFFFFF"/>
            <w:vAlign w:val="bottom"/>
          </w:tcPr>
          <w:p w14:paraId="24059D1E" w14:textId="77777777" w:rsidR="001B3269" w:rsidRDefault="00CF6B9F">
            <w:pPr>
              <w:spacing w:line="240" w:lineRule="auto"/>
              <w:ind w:firstLine="440"/>
              <w:contextualSpacing w:val="0"/>
              <w:jc w:val="center"/>
              <w:rPr>
                <w:rFonts w:ascii="Calibri" w:eastAsia="Calibri" w:hAnsi="Calibri" w:cs="Calibri"/>
                <w:color w:val="000000"/>
              </w:rPr>
            </w:pPr>
            <w:r>
              <w:rPr>
                <w:rFonts w:ascii="Calibri" w:eastAsia="Calibri" w:hAnsi="Calibri" w:cs="Calibri"/>
                <w:color w:val="000000"/>
              </w:rPr>
              <w:t>8</w:t>
            </w:r>
          </w:p>
        </w:tc>
      </w:tr>
      <w:tr w:rsidR="00A64B2D" w14:paraId="406393D7" w14:textId="77777777" w:rsidTr="005B7085">
        <w:trPr>
          <w:trHeight w:val="300"/>
        </w:trPr>
        <w:tc>
          <w:tcPr>
            <w:tcW w:w="960" w:type="dxa"/>
            <w:tcBorders>
              <w:top w:val="nil"/>
              <w:left w:val="single" w:sz="4" w:space="0" w:color="000000"/>
              <w:bottom w:val="nil"/>
              <w:right w:val="single" w:sz="4" w:space="0" w:color="000000"/>
            </w:tcBorders>
            <w:shd w:val="clear" w:color="auto" w:fill="FFFFFF"/>
            <w:vAlign w:val="bottom"/>
          </w:tcPr>
          <w:p w14:paraId="0FA451B4" w14:textId="77777777" w:rsidR="00A64B2D" w:rsidRDefault="00A64B2D" w:rsidP="00A64B2D">
            <w:pPr>
              <w:spacing w:line="240" w:lineRule="auto"/>
              <w:contextualSpacing w:val="0"/>
              <w:jc w:val="center"/>
              <w:rPr>
                <w:rFonts w:ascii="Calibri" w:eastAsia="Calibri" w:hAnsi="Calibri" w:cs="Calibri"/>
                <w:color w:val="000000"/>
              </w:rPr>
            </w:pPr>
            <w:r>
              <w:rPr>
                <w:rFonts w:ascii="Calibri" w:eastAsia="Calibri" w:hAnsi="Calibri" w:cs="Calibri"/>
                <w:color w:val="000000"/>
              </w:rPr>
              <w:t>30</w:t>
            </w:r>
          </w:p>
        </w:tc>
        <w:tc>
          <w:tcPr>
            <w:tcW w:w="960" w:type="dxa"/>
            <w:tcBorders>
              <w:top w:val="nil"/>
              <w:left w:val="nil"/>
              <w:bottom w:val="nil"/>
              <w:right w:val="nil"/>
            </w:tcBorders>
            <w:shd w:val="clear" w:color="auto" w:fill="EDEDED"/>
            <w:vAlign w:val="center"/>
          </w:tcPr>
          <w:p w14:paraId="2DDF2029" w14:textId="69B78EA4" w:rsidR="00A64B2D" w:rsidRPr="00A64B2D" w:rsidRDefault="00A64B2D" w:rsidP="00A64B2D">
            <w:pPr>
              <w:spacing w:line="240" w:lineRule="auto"/>
              <w:contextualSpacing w:val="0"/>
              <w:jc w:val="center"/>
              <w:rPr>
                <w:rFonts w:asciiTheme="majorHAnsi" w:eastAsia="Calibri" w:hAnsiTheme="majorHAnsi" w:cstheme="majorHAnsi"/>
                <w:color w:val="000000"/>
                <w:sz w:val="20"/>
                <w:szCs w:val="20"/>
              </w:rPr>
            </w:pPr>
            <w:r w:rsidRPr="00A64B2D">
              <w:rPr>
                <w:rFonts w:asciiTheme="majorHAnsi" w:hAnsiTheme="majorHAnsi" w:cstheme="majorHAnsi"/>
                <w:color w:val="000000"/>
                <w:sz w:val="20"/>
                <w:szCs w:val="20"/>
              </w:rPr>
              <w:t>14,550</w:t>
            </w:r>
          </w:p>
        </w:tc>
        <w:tc>
          <w:tcPr>
            <w:tcW w:w="960" w:type="dxa"/>
            <w:tcBorders>
              <w:top w:val="nil"/>
              <w:left w:val="nil"/>
              <w:bottom w:val="nil"/>
              <w:right w:val="nil"/>
            </w:tcBorders>
            <w:shd w:val="clear" w:color="auto" w:fill="EDEDED"/>
            <w:vAlign w:val="center"/>
          </w:tcPr>
          <w:p w14:paraId="63E1A074" w14:textId="7E2B2247" w:rsidR="00A64B2D" w:rsidRPr="00A64B2D" w:rsidRDefault="00A64B2D" w:rsidP="00A64B2D">
            <w:pPr>
              <w:spacing w:line="240" w:lineRule="auto"/>
              <w:contextualSpacing w:val="0"/>
              <w:jc w:val="center"/>
              <w:rPr>
                <w:rFonts w:asciiTheme="majorHAnsi" w:eastAsia="Calibri" w:hAnsiTheme="majorHAnsi" w:cstheme="majorHAnsi"/>
                <w:color w:val="000000"/>
                <w:sz w:val="20"/>
                <w:szCs w:val="20"/>
              </w:rPr>
            </w:pPr>
            <w:r w:rsidRPr="00A64B2D">
              <w:rPr>
                <w:rFonts w:asciiTheme="majorHAnsi" w:hAnsiTheme="majorHAnsi" w:cstheme="majorHAnsi"/>
                <w:color w:val="000000"/>
                <w:sz w:val="20"/>
                <w:szCs w:val="20"/>
              </w:rPr>
              <w:t>16,600</w:t>
            </w:r>
          </w:p>
        </w:tc>
        <w:tc>
          <w:tcPr>
            <w:tcW w:w="902" w:type="dxa"/>
            <w:tcBorders>
              <w:top w:val="nil"/>
              <w:left w:val="nil"/>
              <w:bottom w:val="nil"/>
              <w:right w:val="nil"/>
            </w:tcBorders>
            <w:shd w:val="clear" w:color="auto" w:fill="EDEDED"/>
            <w:vAlign w:val="center"/>
          </w:tcPr>
          <w:p w14:paraId="61D580FE" w14:textId="3CBEDCB1" w:rsidR="00A64B2D" w:rsidRPr="00A64B2D" w:rsidRDefault="00A64B2D" w:rsidP="00A64B2D">
            <w:pPr>
              <w:spacing w:line="240" w:lineRule="auto"/>
              <w:contextualSpacing w:val="0"/>
              <w:jc w:val="center"/>
              <w:rPr>
                <w:rFonts w:asciiTheme="majorHAnsi" w:eastAsia="Calibri" w:hAnsiTheme="majorHAnsi" w:cstheme="majorHAnsi"/>
                <w:color w:val="000000"/>
                <w:sz w:val="20"/>
                <w:szCs w:val="20"/>
              </w:rPr>
            </w:pPr>
            <w:r w:rsidRPr="00A64B2D">
              <w:rPr>
                <w:rFonts w:asciiTheme="majorHAnsi" w:hAnsiTheme="majorHAnsi" w:cstheme="majorHAnsi"/>
                <w:color w:val="000000"/>
                <w:sz w:val="20"/>
                <w:szCs w:val="20"/>
              </w:rPr>
              <w:t>20,160</w:t>
            </w:r>
          </w:p>
        </w:tc>
        <w:tc>
          <w:tcPr>
            <w:tcW w:w="1018" w:type="dxa"/>
            <w:tcBorders>
              <w:top w:val="nil"/>
              <w:left w:val="nil"/>
              <w:bottom w:val="nil"/>
              <w:right w:val="nil"/>
            </w:tcBorders>
            <w:shd w:val="clear" w:color="auto" w:fill="EDEDED"/>
            <w:vAlign w:val="center"/>
          </w:tcPr>
          <w:p w14:paraId="56C27DF8" w14:textId="0ECCF3EB" w:rsidR="00A64B2D" w:rsidRPr="00A64B2D" w:rsidRDefault="00A64B2D" w:rsidP="00A64B2D">
            <w:pPr>
              <w:spacing w:line="240" w:lineRule="auto"/>
              <w:contextualSpacing w:val="0"/>
              <w:jc w:val="center"/>
              <w:rPr>
                <w:rFonts w:asciiTheme="majorHAnsi" w:eastAsia="Calibri" w:hAnsiTheme="majorHAnsi" w:cstheme="majorHAnsi"/>
                <w:color w:val="000000"/>
                <w:sz w:val="20"/>
                <w:szCs w:val="20"/>
              </w:rPr>
            </w:pPr>
            <w:r w:rsidRPr="00A64B2D">
              <w:rPr>
                <w:rStyle w:val="Strong"/>
                <w:rFonts w:asciiTheme="majorHAnsi" w:hAnsiTheme="majorHAnsi" w:cstheme="majorHAnsi"/>
                <w:color w:val="000000"/>
                <w:sz w:val="20"/>
                <w:szCs w:val="20"/>
                <w:bdr w:val="none" w:sz="0" w:space="0" w:color="auto" w:frame="1"/>
              </w:rPr>
              <w:t>24,300</w:t>
            </w:r>
          </w:p>
        </w:tc>
        <w:tc>
          <w:tcPr>
            <w:tcW w:w="960" w:type="dxa"/>
            <w:tcBorders>
              <w:top w:val="nil"/>
              <w:left w:val="nil"/>
              <w:bottom w:val="nil"/>
              <w:right w:val="nil"/>
            </w:tcBorders>
            <w:shd w:val="clear" w:color="auto" w:fill="EDEDED"/>
            <w:vAlign w:val="center"/>
          </w:tcPr>
          <w:p w14:paraId="7E6769EF" w14:textId="536111FB" w:rsidR="00A64B2D" w:rsidRPr="00A64B2D" w:rsidRDefault="00A64B2D" w:rsidP="00A64B2D">
            <w:pPr>
              <w:spacing w:line="240" w:lineRule="auto"/>
              <w:contextualSpacing w:val="0"/>
              <w:jc w:val="center"/>
              <w:rPr>
                <w:rFonts w:asciiTheme="majorHAnsi" w:eastAsia="Calibri" w:hAnsiTheme="majorHAnsi" w:cstheme="majorHAnsi"/>
                <w:color w:val="000000"/>
                <w:sz w:val="20"/>
                <w:szCs w:val="20"/>
              </w:rPr>
            </w:pPr>
            <w:r w:rsidRPr="00A64B2D">
              <w:rPr>
                <w:rFonts w:asciiTheme="majorHAnsi" w:hAnsiTheme="majorHAnsi" w:cstheme="majorHAnsi"/>
                <w:color w:val="000000"/>
                <w:sz w:val="20"/>
                <w:szCs w:val="20"/>
              </w:rPr>
              <w:t>28,440</w:t>
            </w:r>
          </w:p>
        </w:tc>
        <w:tc>
          <w:tcPr>
            <w:tcW w:w="960" w:type="dxa"/>
            <w:tcBorders>
              <w:top w:val="nil"/>
              <w:left w:val="nil"/>
              <w:bottom w:val="nil"/>
              <w:right w:val="nil"/>
            </w:tcBorders>
            <w:shd w:val="clear" w:color="auto" w:fill="EDEDED"/>
            <w:vAlign w:val="center"/>
          </w:tcPr>
          <w:p w14:paraId="6057E3AB" w14:textId="48E77654" w:rsidR="00A64B2D" w:rsidRPr="00A64B2D" w:rsidRDefault="00A64B2D" w:rsidP="00A64B2D">
            <w:pPr>
              <w:spacing w:line="240" w:lineRule="auto"/>
              <w:contextualSpacing w:val="0"/>
              <w:jc w:val="center"/>
              <w:rPr>
                <w:rFonts w:asciiTheme="majorHAnsi" w:eastAsia="Calibri" w:hAnsiTheme="majorHAnsi" w:cstheme="majorHAnsi"/>
                <w:color w:val="000000"/>
                <w:sz w:val="20"/>
                <w:szCs w:val="20"/>
              </w:rPr>
            </w:pPr>
            <w:r w:rsidRPr="00A64B2D">
              <w:rPr>
                <w:rFonts w:asciiTheme="majorHAnsi" w:hAnsiTheme="majorHAnsi" w:cstheme="majorHAnsi"/>
                <w:color w:val="000000"/>
                <w:sz w:val="20"/>
                <w:szCs w:val="20"/>
              </w:rPr>
              <w:t>32,580</w:t>
            </w:r>
          </w:p>
        </w:tc>
        <w:tc>
          <w:tcPr>
            <w:tcW w:w="960" w:type="dxa"/>
            <w:tcBorders>
              <w:top w:val="nil"/>
              <w:left w:val="nil"/>
              <w:bottom w:val="nil"/>
              <w:right w:val="nil"/>
            </w:tcBorders>
            <w:shd w:val="clear" w:color="auto" w:fill="EDEDED"/>
            <w:vAlign w:val="center"/>
          </w:tcPr>
          <w:p w14:paraId="26C5FC0D" w14:textId="6208BF4B" w:rsidR="00A64B2D" w:rsidRPr="00A64B2D" w:rsidRDefault="00A64B2D" w:rsidP="00A64B2D">
            <w:pPr>
              <w:spacing w:line="240" w:lineRule="auto"/>
              <w:contextualSpacing w:val="0"/>
              <w:jc w:val="center"/>
              <w:rPr>
                <w:rFonts w:asciiTheme="majorHAnsi" w:eastAsia="Calibri" w:hAnsiTheme="majorHAnsi" w:cstheme="majorHAnsi"/>
                <w:color w:val="000000"/>
                <w:sz w:val="20"/>
                <w:szCs w:val="20"/>
              </w:rPr>
            </w:pPr>
            <w:r w:rsidRPr="00A64B2D">
              <w:rPr>
                <w:rFonts w:asciiTheme="majorHAnsi" w:hAnsiTheme="majorHAnsi" w:cstheme="majorHAnsi"/>
                <w:color w:val="000000"/>
                <w:sz w:val="20"/>
                <w:szCs w:val="20"/>
              </w:rPr>
              <w:t>36,730</w:t>
            </w:r>
          </w:p>
        </w:tc>
        <w:tc>
          <w:tcPr>
            <w:tcW w:w="960" w:type="dxa"/>
            <w:tcBorders>
              <w:top w:val="nil"/>
              <w:left w:val="nil"/>
              <w:bottom w:val="nil"/>
              <w:right w:val="single" w:sz="4" w:space="0" w:color="000000"/>
            </w:tcBorders>
            <w:shd w:val="clear" w:color="auto" w:fill="EDEDED"/>
            <w:vAlign w:val="center"/>
          </w:tcPr>
          <w:p w14:paraId="14634BE7" w14:textId="7582EB01" w:rsidR="00A64B2D" w:rsidRPr="00A64B2D" w:rsidRDefault="00A64B2D" w:rsidP="00A64B2D">
            <w:pPr>
              <w:spacing w:line="240" w:lineRule="auto"/>
              <w:contextualSpacing w:val="0"/>
              <w:jc w:val="center"/>
              <w:rPr>
                <w:rFonts w:asciiTheme="majorHAnsi" w:eastAsia="Calibri" w:hAnsiTheme="majorHAnsi" w:cstheme="majorHAnsi"/>
                <w:color w:val="000000"/>
                <w:sz w:val="20"/>
                <w:szCs w:val="20"/>
              </w:rPr>
            </w:pPr>
            <w:r w:rsidRPr="00A64B2D">
              <w:rPr>
                <w:rFonts w:asciiTheme="majorHAnsi" w:hAnsiTheme="majorHAnsi" w:cstheme="majorHAnsi"/>
                <w:color w:val="000000"/>
                <w:sz w:val="20"/>
                <w:szCs w:val="20"/>
              </w:rPr>
              <w:t>40,890</w:t>
            </w:r>
          </w:p>
        </w:tc>
      </w:tr>
      <w:tr w:rsidR="00080165" w14:paraId="1E483554" w14:textId="77777777" w:rsidTr="0091115F">
        <w:trPr>
          <w:trHeight w:val="300"/>
        </w:trPr>
        <w:tc>
          <w:tcPr>
            <w:tcW w:w="960" w:type="dxa"/>
            <w:tcBorders>
              <w:top w:val="single" w:sz="4" w:space="0" w:color="000000"/>
              <w:left w:val="single" w:sz="4" w:space="0" w:color="000000"/>
              <w:bottom w:val="nil"/>
              <w:right w:val="single" w:sz="4" w:space="0" w:color="000000"/>
            </w:tcBorders>
            <w:shd w:val="clear" w:color="auto" w:fill="FFFFFF"/>
            <w:vAlign w:val="bottom"/>
          </w:tcPr>
          <w:p w14:paraId="472B7E6A" w14:textId="77777777" w:rsidR="00080165" w:rsidRDefault="00080165" w:rsidP="00080165">
            <w:pPr>
              <w:spacing w:line="240" w:lineRule="auto"/>
              <w:contextualSpacing w:val="0"/>
              <w:jc w:val="center"/>
              <w:rPr>
                <w:rFonts w:ascii="Calibri" w:eastAsia="Calibri" w:hAnsi="Calibri" w:cs="Calibri"/>
                <w:color w:val="000000"/>
              </w:rPr>
            </w:pPr>
            <w:r>
              <w:rPr>
                <w:rFonts w:ascii="Calibri" w:eastAsia="Calibri" w:hAnsi="Calibri" w:cs="Calibri"/>
                <w:color w:val="000000"/>
              </w:rPr>
              <w:t>50</w:t>
            </w:r>
          </w:p>
        </w:tc>
        <w:tc>
          <w:tcPr>
            <w:tcW w:w="960" w:type="dxa"/>
            <w:tcBorders>
              <w:top w:val="nil"/>
              <w:left w:val="nil"/>
              <w:bottom w:val="nil"/>
              <w:right w:val="nil"/>
            </w:tcBorders>
            <w:shd w:val="clear" w:color="auto" w:fill="EDEDED"/>
          </w:tcPr>
          <w:p w14:paraId="6A9D8425" w14:textId="3920564B"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sz w:val="20"/>
                <w:szCs w:val="20"/>
              </w:rPr>
              <w:t>24,250</w:t>
            </w:r>
          </w:p>
        </w:tc>
        <w:tc>
          <w:tcPr>
            <w:tcW w:w="960" w:type="dxa"/>
            <w:tcBorders>
              <w:top w:val="nil"/>
              <w:left w:val="nil"/>
              <w:bottom w:val="nil"/>
              <w:right w:val="nil"/>
            </w:tcBorders>
            <w:shd w:val="clear" w:color="auto" w:fill="EDEDED"/>
          </w:tcPr>
          <w:p w14:paraId="37E35EE7" w14:textId="66254C50"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sz w:val="20"/>
                <w:szCs w:val="20"/>
              </w:rPr>
              <w:t>27,700</w:t>
            </w:r>
          </w:p>
        </w:tc>
        <w:tc>
          <w:tcPr>
            <w:tcW w:w="902" w:type="dxa"/>
            <w:tcBorders>
              <w:top w:val="nil"/>
              <w:left w:val="nil"/>
              <w:bottom w:val="nil"/>
              <w:right w:val="nil"/>
            </w:tcBorders>
            <w:shd w:val="clear" w:color="auto" w:fill="EDEDED"/>
          </w:tcPr>
          <w:p w14:paraId="28BC8721" w14:textId="18967D75"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sz w:val="20"/>
                <w:szCs w:val="20"/>
              </w:rPr>
              <w:t>31,150</w:t>
            </w:r>
          </w:p>
        </w:tc>
        <w:tc>
          <w:tcPr>
            <w:tcW w:w="1018" w:type="dxa"/>
            <w:tcBorders>
              <w:top w:val="nil"/>
              <w:left w:val="nil"/>
              <w:bottom w:val="nil"/>
              <w:right w:val="nil"/>
            </w:tcBorders>
            <w:shd w:val="clear" w:color="auto" w:fill="EDEDED"/>
          </w:tcPr>
          <w:p w14:paraId="6398D434" w14:textId="1D97A067"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sz w:val="20"/>
                <w:szCs w:val="20"/>
              </w:rPr>
              <w:t>34,600</w:t>
            </w:r>
          </w:p>
        </w:tc>
        <w:tc>
          <w:tcPr>
            <w:tcW w:w="960" w:type="dxa"/>
            <w:tcBorders>
              <w:top w:val="nil"/>
              <w:left w:val="nil"/>
              <w:bottom w:val="nil"/>
              <w:right w:val="nil"/>
            </w:tcBorders>
            <w:shd w:val="clear" w:color="auto" w:fill="EDEDED"/>
          </w:tcPr>
          <w:p w14:paraId="7911B936" w14:textId="2E52805B"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sz w:val="20"/>
                <w:szCs w:val="20"/>
              </w:rPr>
              <w:t>37,400</w:t>
            </w:r>
          </w:p>
        </w:tc>
        <w:tc>
          <w:tcPr>
            <w:tcW w:w="960" w:type="dxa"/>
            <w:tcBorders>
              <w:top w:val="nil"/>
              <w:left w:val="nil"/>
              <w:bottom w:val="nil"/>
              <w:right w:val="nil"/>
            </w:tcBorders>
            <w:shd w:val="clear" w:color="auto" w:fill="EDEDED"/>
          </w:tcPr>
          <w:p w14:paraId="37FB4328" w14:textId="28D8FC9A"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sz w:val="20"/>
                <w:szCs w:val="20"/>
              </w:rPr>
              <w:t>40,150</w:t>
            </w:r>
          </w:p>
        </w:tc>
        <w:tc>
          <w:tcPr>
            <w:tcW w:w="960" w:type="dxa"/>
            <w:tcBorders>
              <w:top w:val="nil"/>
              <w:left w:val="nil"/>
              <w:bottom w:val="nil"/>
              <w:right w:val="nil"/>
            </w:tcBorders>
            <w:shd w:val="clear" w:color="auto" w:fill="EDEDED"/>
          </w:tcPr>
          <w:p w14:paraId="3D4C16CB" w14:textId="0FB4008A"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sz w:val="20"/>
                <w:szCs w:val="20"/>
              </w:rPr>
              <w:t>42,950</w:t>
            </w:r>
          </w:p>
        </w:tc>
        <w:tc>
          <w:tcPr>
            <w:tcW w:w="960" w:type="dxa"/>
            <w:tcBorders>
              <w:top w:val="nil"/>
              <w:left w:val="nil"/>
              <w:bottom w:val="nil"/>
              <w:right w:val="single" w:sz="4" w:space="0" w:color="000000"/>
            </w:tcBorders>
            <w:shd w:val="clear" w:color="auto" w:fill="EDEDED"/>
          </w:tcPr>
          <w:p w14:paraId="2B134B9B" w14:textId="22381845"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sz w:val="20"/>
                <w:szCs w:val="20"/>
              </w:rPr>
              <w:t>45,700</w:t>
            </w:r>
          </w:p>
        </w:tc>
      </w:tr>
      <w:tr w:rsidR="00080165" w14:paraId="05F616FB" w14:textId="77777777" w:rsidTr="00AE4AF0">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3329DF3" w14:textId="77777777" w:rsidR="00080165" w:rsidRDefault="00080165" w:rsidP="00080165">
            <w:pPr>
              <w:spacing w:line="240" w:lineRule="auto"/>
              <w:contextualSpacing w:val="0"/>
              <w:jc w:val="center"/>
              <w:rPr>
                <w:rFonts w:ascii="Calibri" w:eastAsia="Calibri" w:hAnsi="Calibri" w:cs="Calibri"/>
                <w:color w:val="000000"/>
              </w:rPr>
            </w:pPr>
            <w:r>
              <w:rPr>
                <w:rFonts w:ascii="Calibri" w:eastAsia="Calibri" w:hAnsi="Calibri" w:cs="Calibri"/>
                <w:color w:val="000000"/>
              </w:rPr>
              <w:t>80</w:t>
            </w:r>
          </w:p>
        </w:tc>
        <w:tc>
          <w:tcPr>
            <w:tcW w:w="960" w:type="dxa"/>
            <w:tcBorders>
              <w:top w:val="nil"/>
              <w:left w:val="nil"/>
              <w:bottom w:val="single" w:sz="4" w:space="0" w:color="000000"/>
              <w:right w:val="nil"/>
            </w:tcBorders>
            <w:shd w:val="clear" w:color="auto" w:fill="EDEDED"/>
            <w:vAlign w:val="center"/>
          </w:tcPr>
          <w:p w14:paraId="57E2433A" w14:textId="6D4F1D81"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color w:val="000000"/>
                <w:sz w:val="20"/>
                <w:szCs w:val="20"/>
              </w:rPr>
              <w:t>38,750</w:t>
            </w:r>
          </w:p>
        </w:tc>
        <w:tc>
          <w:tcPr>
            <w:tcW w:w="960" w:type="dxa"/>
            <w:tcBorders>
              <w:top w:val="nil"/>
              <w:left w:val="nil"/>
              <w:bottom w:val="single" w:sz="4" w:space="0" w:color="000000"/>
              <w:right w:val="nil"/>
            </w:tcBorders>
            <w:shd w:val="clear" w:color="auto" w:fill="EDEDED"/>
            <w:vAlign w:val="center"/>
          </w:tcPr>
          <w:p w14:paraId="1E39DAA5" w14:textId="1C279B13"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color w:val="000000"/>
                <w:sz w:val="20"/>
                <w:szCs w:val="20"/>
              </w:rPr>
              <w:t>44,300</w:t>
            </w:r>
          </w:p>
        </w:tc>
        <w:tc>
          <w:tcPr>
            <w:tcW w:w="902" w:type="dxa"/>
            <w:tcBorders>
              <w:top w:val="nil"/>
              <w:left w:val="nil"/>
              <w:bottom w:val="single" w:sz="4" w:space="0" w:color="000000"/>
              <w:right w:val="nil"/>
            </w:tcBorders>
            <w:shd w:val="clear" w:color="auto" w:fill="EDEDED"/>
            <w:vAlign w:val="center"/>
          </w:tcPr>
          <w:p w14:paraId="2C85A5DD" w14:textId="3B3F135A"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color w:val="000000"/>
                <w:sz w:val="20"/>
                <w:szCs w:val="20"/>
              </w:rPr>
              <w:t>49,850</w:t>
            </w:r>
          </w:p>
        </w:tc>
        <w:tc>
          <w:tcPr>
            <w:tcW w:w="1018" w:type="dxa"/>
            <w:tcBorders>
              <w:top w:val="nil"/>
              <w:left w:val="nil"/>
              <w:bottom w:val="single" w:sz="4" w:space="0" w:color="000000"/>
              <w:right w:val="nil"/>
            </w:tcBorders>
            <w:shd w:val="clear" w:color="auto" w:fill="EDEDED"/>
            <w:vAlign w:val="center"/>
          </w:tcPr>
          <w:p w14:paraId="1E38D26C" w14:textId="1E096DB2"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Style w:val="Strong"/>
                <w:rFonts w:asciiTheme="majorHAnsi" w:hAnsiTheme="majorHAnsi" w:cstheme="majorHAnsi"/>
                <w:color w:val="000000"/>
                <w:sz w:val="20"/>
                <w:szCs w:val="20"/>
                <w:bdr w:val="none" w:sz="0" w:space="0" w:color="auto" w:frame="1"/>
              </w:rPr>
              <w:t>55,350</w:t>
            </w:r>
          </w:p>
        </w:tc>
        <w:tc>
          <w:tcPr>
            <w:tcW w:w="960" w:type="dxa"/>
            <w:tcBorders>
              <w:top w:val="nil"/>
              <w:left w:val="nil"/>
              <w:bottom w:val="single" w:sz="4" w:space="0" w:color="000000"/>
              <w:right w:val="nil"/>
            </w:tcBorders>
            <w:shd w:val="clear" w:color="auto" w:fill="EDEDED"/>
            <w:vAlign w:val="center"/>
          </w:tcPr>
          <w:p w14:paraId="04ED497D" w14:textId="306E1582"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color w:val="000000"/>
                <w:sz w:val="20"/>
                <w:szCs w:val="20"/>
              </w:rPr>
              <w:t>59,800</w:t>
            </w:r>
          </w:p>
        </w:tc>
        <w:tc>
          <w:tcPr>
            <w:tcW w:w="960" w:type="dxa"/>
            <w:tcBorders>
              <w:top w:val="nil"/>
              <w:left w:val="nil"/>
              <w:bottom w:val="single" w:sz="4" w:space="0" w:color="000000"/>
              <w:right w:val="nil"/>
            </w:tcBorders>
            <w:shd w:val="clear" w:color="auto" w:fill="EDEDED"/>
            <w:vAlign w:val="center"/>
          </w:tcPr>
          <w:p w14:paraId="1E28E221" w14:textId="368D1C2E"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color w:val="000000"/>
                <w:sz w:val="20"/>
                <w:szCs w:val="20"/>
              </w:rPr>
              <w:t>64,250</w:t>
            </w:r>
          </w:p>
        </w:tc>
        <w:tc>
          <w:tcPr>
            <w:tcW w:w="960" w:type="dxa"/>
            <w:tcBorders>
              <w:top w:val="nil"/>
              <w:left w:val="nil"/>
              <w:bottom w:val="single" w:sz="4" w:space="0" w:color="000000"/>
              <w:right w:val="nil"/>
            </w:tcBorders>
            <w:shd w:val="clear" w:color="auto" w:fill="EDEDED"/>
            <w:vAlign w:val="center"/>
          </w:tcPr>
          <w:p w14:paraId="2177DBCA" w14:textId="4512FF3E"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color w:val="000000"/>
                <w:sz w:val="20"/>
                <w:szCs w:val="20"/>
              </w:rPr>
              <w:t>68,650</w:t>
            </w:r>
          </w:p>
        </w:tc>
        <w:tc>
          <w:tcPr>
            <w:tcW w:w="960" w:type="dxa"/>
            <w:tcBorders>
              <w:top w:val="nil"/>
              <w:left w:val="nil"/>
              <w:bottom w:val="single" w:sz="4" w:space="0" w:color="000000"/>
              <w:right w:val="single" w:sz="4" w:space="0" w:color="000000"/>
            </w:tcBorders>
            <w:shd w:val="clear" w:color="auto" w:fill="EDEDED"/>
            <w:vAlign w:val="center"/>
          </w:tcPr>
          <w:p w14:paraId="0E379905" w14:textId="3C43E822"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color w:val="000000"/>
                <w:sz w:val="20"/>
                <w:szCs w:val="20"/>
              </w:rPr>
              <w:t>73,100</w:t>
            </w:r>
          </w:p>
        </w:tc>
      </w:tr>
    </w:tbl>
    <w:p w14:paraId="4CDC5D92" w14:textId="77777777" w:rsidR="001B3269" w:rsidRDefault="001B3269">
      <w:pPr>
        <w:contextualSpacing w:val="0"/>
        <w:rPr>
          <w:highlight w:val="white"/>
        </w:rPr>
      </w:pPr>
    </w:p>
    <w:p w14:paraId="0DD2572F" w14:textId="77777777" w:rsidR="00E31920" w:rsidRDefault="00E31920">
      <w:pPr>
        <w:contextualSpacing w:val="0"/>
      </w:pPr>
    </w:p>
    <w:p w14:paraId="3CFE8155" w14:textId="0E33B853" w:rsidR="001B3269" w:rsidRPr="0015687E" w:rsidRDefault="00CF6B9F">
      <w:pPr>
        <w:contextualSpacing w:val="0"/>
      </w:pPr>
      <w:r w:rsidRPr="0015687E">
        <w:t xml:space="preserve">The current </w:t>
      </w:r>
      <w:r w:rsidR="0019332F" w:rsidRPr="0015687E">
        <w:rPr>
          <w:b/>
        </w:rPr>
        <w:t>2019</w:t>
      </w:r>
      <w:r w:rsidR="0015687E" w:rsidRPr="0015687E">
        <w:rPr>
          <w:b/>
        </w:rPr>
        <w:t xml:space="preserve"> </w:t>
      </w:r>
      <w:r w:rsidRPr="0015687E">
        <w:rPr>
          <w:b/>
        </w:rPr>
        <w:t>HUD income limits</w:t>
      </w:r>
      <w:r w:rsidR="004D2EBB">
        <w:t xml:space="preserve"> </w:t>
      </w:r>
      <w:r w:rsidR="00FE2FA0">
        <w:t xml:space="preserve">for the City </w:t>
      </w:r>
      <w:r w:rsidRPr="0015687E">
        <w:t>are:</w:t>
      </w:r>
    </w:p>
    <w:p w14:paraId="458C2540" w14:textId="77777777" w:rsidR="009230BD" w:rsidRDefault="009230BD" w:rsidP="009230BD">
      <w:pPr>
        <w:contextualSpacing w:val="0"/>
        <w:rPr>
          <w:highlight w:val="white"/>
        </w:rPr>
      </w:pPr>
    </w:p>
    <w:tbl>
      <w:tblPr>
        <w:tblStyle w:val="a"/>
        <w:tblW w:w="8640" w:type="dxa"/>
        <w:tblInd w:w="113" w:type="dxa"/>
        <w:tblLayout w:type="fixed"/>
        <w:tblLook w:val="0400" w:firstRow="0" w:lastRow="0" w:firstColumn="0" w:lastColumn="0" w:noHBand="0" w:noVBand="1"/>
      </w:tblPr>
      <w:tblGrid>
        <w:gridCol w:w="960"/>
        <w:gridCol w:w="960"/>
        <w:gridCol w:w="960"/>
        <w:gridCol w:w="960"/>
        <w:gridCol w:w="960"/>
        <w:gridCol w:w="960"/>
        <w:gridCol w:w="960"/>
        <w:gridCol w:w="960"/>
        <w:gridCol w:w="960"/>
      </w:tblGrid>
      <w:tr w:rsidR="009230BD" w14:paraId="642E657C" w14:textId="77777777" w:rsidTr="00E205FF">
        <w:trPr>
          <w:trHeight w:val="30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2C7DF01A" w14:textId="77777777" w:rsidR="009230BD" w:rsidRDefault="009230BD" w:rsidP="00E205FF">
            <w:pPr>
              <w:spacing w:line="240" w:lineRule="auto"/>
              <w:contextualSpacing w:val="0"/>
              <w:jc w:val="center"/>
              <w:rPr>
                <w:rFonts w:ascii="Calibri" w:eastAsia="Calibri" w:hAnsi="Calibri" w:cs="Calibri"/>
                <w:b/>
                <w:color w:val="000000"/>
              </w:rPr>
            </w:pPr>
            <w:r>
              <w:rPr>
                <w:rFonts w:ascii="Calibri" w:eastAsia="Calibri" w:hAnsi="Calibri" w:cs="Calibri"/>
                <w:b/>
                <w:color w:val="000000"/>
              </w:rPr>
              <w:t>AMFI %</w:t>
            </w:r>
          </w:p>
        </w:tc>
        <w:tc>
          <w:tcPr>
            <w:tcW w:w="7680" w:type="dxa"/>
            <w:gridSpan w:val="8"/>
            <w:tcBorders>
              <w:top w:val="single" w:sz="4" w:space="0" w:color="000000"/>
              <w:left w:val="nil"/>
              <w:bottom w:val="single" w:sz="4" w:space="0" w:color="000000"/>
              <w:right w:val="single" w:sz="4" w:space="0" w:color="000000"/>
            </w:tcBorders>
            <w:shd w:val="clear" w:color="auto" w:fill="FFFFFF"/>
            <w:vAlign w:val="bottom"/>
          </w:tcPr>
          <w:p w14:paraId="7670E5D7" w14:textId="77777777" w:rsidR="009230BD" w:rsidRDefault="009230BD" w:rsidP="00E205FF">
            <w:pPr>
              <w:spacing w:line="240" w:lineRule="auto"/>
              <w:contextualSpacing w:val="0"/>
              <w:jc w:val="center"/>
              <w:rPr>
                <w:rFonts w:ascii="Calibri" w:eastAsia="Calibri" w:hAnsi="Calibri" w:cs="Calibri"/>
                <w:b/>
                <w:color w:val="000000"/>
              </w:rPr>
            </w:pPr>
            <w:r>
              <w:rPr>
                <w:rFonts w:ascii="Calibri" w:eastAsia="Calibri" w:hAnsi="Calibri" w:cs="Calibri"/>
                <w:b/>
                <w:color w:val="000000"/>
              </w:rPr>
              <w:t>Number of Household Members</w:t>
            </w:r>
          </w:p>
        </w:tc>
      </w:tr>
      <w:tr w:rsidR="009230BD" w14:paraId="38F0954C" w14:textId="77777777" w:rsidTr="00E205FF">
        <w:trPr>
          <w:trHeight w:val="300"/>
        </w:trPr>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62F833F7" w14:textId="77777777" w:rsidR="009230BD" w:rsidRDefault="009230BD" w:rsidP="00E205FF">
            <w:pPr>
              <w:widowControl w:val="0"/>
              <w:pBdr>
                <w:top w:val="nil"/>
                <w:left w:val="nil"/>
                <w:bottom w:val="nil"/>
                <w:right w:val="nil"/>
                <w:between w:val="nil"/>
              </w:pBdr>
              <w:contextualSpacing w:val="0"/>
              <w:rPr>
                <w:rFonts w:ascii="Calibri" w:eastAsia="Calibri" w:hAnsi="Calibri" w:cs="Calibri"/>
                <w:b/>
                <w:color w:val="000000"/>
              </w:rPr>
            </w:pPr>
          </w:p>
        </w:tc>
        <w:tc>
          <w:tcPr>
            <w:tcW w:w="960" w:type="dxa"/>
            <w:tcBorders>
              <w:top w:val="nil"/>
              <w:left w:val="nil"/>
              <w:bottom w:val="single" w:sz="4" w:space="0" w:color="000000"/>
              <w:right w:val="nil"/>
            </w:tcBorders>
            <w:shd w:val="clear" w:color="auto" w:fill="FFFFFF"/>
            <w:vAlign w:val="bottom"/>
          </w:tcPr>
          <w:p w14:paraId="66EE767A" w14:textId="77777777" w:rsidR="009230BD" w:rsidRDefault="009230BD" w:rsidP="00E205FF">
            <w:pPr>
              <w:spacing w:line="240" w:lineRule="auto"/>
              <w:ind w:firstLine="440"/>
              <w:contextualSpacing w:val="0"/>
              <w:jc w:val="center"/>
              <w:rPr>
                <w:rFonts w:ascii="Calibri" w:eastAsia="Calibri" w:hAnsi="Calibri" w:cs="Calibri"/>
                <w:color w:val="000000"/>
              </w:rPr>
            </w:pPr>
            <w:r>
              <w:rPr>
                <w:rFonts w:ascii="Calibri" w:eastAsia="Calibri" w:hAnsi="Calibri" w:cs="Calibri"/>
                <w:color w:val="000000"/>
              </w:rPr>
              <w:t>1</w:t>
            </w:r>
          </w:p>
        </w:tc>
        <w:tc>
          <w:tcPr>
            <w:tcW w:w="960" w:type="dxa"/>
            <w:tcBorders>
              <w:top w:val="nil"/>
              <w:left w:val="nil"/>
              <w:bottom w:val="single" w:sz="4" w:space="0" w:color="000000"/>
              <w:right w:val="nil"/>
            </w:tcBorders>
            <w:shd w:val="clear" w:color="auto" w:fill="FFFFFF"/>
            <w:vAlign w:val="bottom"/>
          </w:tcPr>
          <w:p w14:paraId="654407CD" w14:textId="77777777" w:rsidR="009230BD" w:rsidRDefault="009230BD" w:rsidP="00E205FF">
            <w:pPr>
              <w:spacing w:line="240" w:lineRule="auto"/>
              <w:ind w:firstLine="440"/>
              <w:contextualSpacing w:val="0"/>
              <w:jc w:val="center"/>
              <w:rPr>
                <w:rFonts w:ascii="Calibri" w:eastAsia="Calibri" w:hAnsi="Calibri" w:cs="Calibri"/>
                <w:color w:val="000000"/>
              </w:rPr>
            </w:pPr>
            <w:r>
              <w:rPr>
                <w:rFonts w:ascii="Calibri" w:eastAsia="Calibri" w:hAnsi="Calibri" w:cs="Calibri"/>
                <w:color w:val="000000"/>
              </w:rPr>
              <w:t>2</w:t>
            </w:r>
          </w:p>
        </w:tc>
        <w:tc>
          <w:tcPr>
            <w:tcW w:w="960" w:type="dxa"/>
            <w:tcBorders>
              <w:top w:val="nil"/>
              <w:left w:val="nil"/>
              <w:bottom w:val="single" w:sz="4" w:space="0" w:color="000000"/>
              <w:right w:val="nil"/>
            </w:tcBorders>
            <w:shd w:val="clear" w:color="auto" w:fill="FFFFFF"/>
            <w:vAlign w:val="bottom"/>
          </w:tcPr>
          <w:p w14:paraId="7DEC295F" w14:textId="77777777" w:rsidR="009230BD" w:rsidRDefault="009230BD" w:rsidP="00E205FF">
            <w:pPr>
              <w:spacing w:line="240" w:lineRule="auto"/>
              <w:ind w:firstLine="440"/>
              <w:contextualSpacing w:val="0"/>
              <w:jc w:val="center"/>
              <w:rPr>
                <w:rFonts w:ascii="Calibri" w:eastAsia="Calibri" w:hAnsi="Calibri" w:cs="Calibri"/>
                <w:color w:val="000000"/>
              </w:rPr>
            </w:pPr>
            <w:r>
              <w:rPr>
                <w:rFonts w:ascii="Calibri" w:eastAsia="Calibri" w:hAnsi="Calibri" w:cs="Calibri"/>
                <w:color w:val="000000"/>
              </w:rPr>
              <w:t>3</w:t>
            </w:r>
          </w:p>
        </w:tc>
        <w:tc>
          <w:tcPr>
            <w:tcW w:w="960" w:type="dxa"/>
            <w:tcBorders>
              <w:top w:val="nil"/>
              <w:left w:val="nil"/>
              <w:bottom w:val="single" w:sz="4" w:space="0" w:color="000000"/>
              <w:right w:val="nil"/>
            </w:tcBorders>
            <w:shd w:val="clear" w:color="auto" w:fill="FFFFFF"/>
            <w:vAlign w:val="bottom"/>
          </w:tcPr>
          <w:p w14:paraId="67FC22E9" w14:textId="77777777" w:rsidR="009230BD" w:rsidRDefault="009230BD" w:rsidP="00E205FF">
            <w:pPr>
              <w:spacing w:line="240" w:lineRule="auto"/>
              <w:ind w:firstLine="440"/>
              <w:contextualSpacing w:val="0"/>
              <w:jc w:val="center"/>
              <w:rPr>
                <w:rFonts w:ascii="Calibri" w:eastAsia="Calibri" w:hAnsi="Calibri" w:cs="Calibri"/>
                <w:color w:val="000000"/>
              </w:rPr>
            </w:pPr>
            <w:r>
              <w:rPr>
                <w:rFonts w:ascii="Calibri" w:eastAsia="Calibri" w:hAnsi="Calibri" w:cs="Calibri"/>
                <w:color w:val="000000"/>
              </w:rPr>
              <w:t>4</w:t>
            </w:r>
          </w:p>
        </w:tc>
        <w:tc>
          <w:tcPr>
            <w:tcW w:w="960" w:type="dxa"/>
            <w:tcBorders>
              <w:top w:val="nil"/>
              <w:left w:val="nil"/>
              <w:bottom w:val="single" w:sz="4" w:space="0" w:color="000000"/>
              <w:right w:val="nil"/>
            </w:tcBorders>
            <w:shd w:val="clear" w:color="auto" w:fill="FFFFFF"/>
            <w:vAlign w:val="bottom"/>
          </w:tcPr>
          <w:p w14:paraId="4ED43928" w14:textId="77777777" w:rsidR="009230BD" w:rsidRDefault="009230BD" w:rsidP="00E205FF">
            <w:pPr>
              <w:spacing w:line="240" w:lineRule="auto"/>
              <w:ind w:firstLine="440"/>
              <w:contextualSpacing w:val="0"/>
              <w:jc w:val="center"/>
              <w:rPr>
                <w:rFonts w:ascii="Calibri" w:eastAsia="Calibri" w:hAnsi="Calibri" w:cs="Calibri"/>
                <w:color w:val="000000"/>
              </w:rPr>
            </w:pPr>
            <w:r>
              <w:rPr>
                <w:rFonts w:ascii="Calibri" w:eastAsia="Calibri" w:hAnsi="Calibri" w:cs="Calibri"/>
                <w:color w:val="000000"/>
              </w:rPr>
              <w:t>5</w:t>
            </w:r>
          </w:p>
        </w:tc>
        <w:tc>
          <w:tcPr>
            <w:tcW w:w="960" w:type="dxa"/>
            <w:tcBorders>
              <w:top w:val="nil"/>
              <w:left w:val="nil"/>
              <w:bottom w:val="single" w:sz="4" w:space="0" w:color="000000"/>
              <w:right w:val="nil"/>
            </w:tcBorders>
            <w:shd w:val="clear" w:color="auto" w:fill="FFFFFF"/>
            <w:vAlign w:val="bottom"/>
          </w:tcPr>
          <w:p w14:paraId="3EA19EAE" w14:textId="77777777" w:rsidR="009230BD" w:rsidRDefault="009230BD" w:rsidP="00E205FF">
            <w:pPr>
              <w:spacing w:line="240" w:lineRule="auto"/>
              <w:ind w:firstLine="440"/>
              <w:contextualSpacing w:val="0"/>
              <w:jc w:val="center"/>
              <w:rPr>
                <w:rFonts w:ascii="Calibri" w:eastAsia="Calibri" w:hAnsi="Calibri" w:cs="Calibri"/>
                <w:color w:val="000000"/>
              </w:rPr>
            </w:pPr>
            <w:r>
              <w:rPr>
                <w:rFonts w:ascii="Calibri" w:eastAsia="Calibri" w:hAnsi="Calibri" w:cs="Calibri"/>
                <w:color w:val="000000"/>
              </w:rPr>
              <w:t>6</w:t>
            </w:r>
          </w:p>
        </w:tc>
        <w:tc>
          <w:tcPr>
            <w:tcW w:w="960" w:type="dxa"/>
            <w:tcBorders>
              <w:top w:val="nil"/>
              <w:left w:val="nil"/>
              <w:bottom w:val="single" w:sz="4" w:space="0" w:color="000000"/>
              <w:right w:val="nil"/>
            </w:tcBorders>
            <w:shd w:val="clear" w:color="auto" w:fill="FFFFFF"/>
            <w:vAlign w:val="bottom"/>
          </w:tcPr>
          <w:p w14:paraId="5951494F" w14:textId="77777777" w:rsidR="009230BD" w:rsidRDefault="009230BD" w:rsidP="00E205FF">
            <w:pPr>
              <w:spacing w:line="240" w:lineRule="auto"/>
              <w:ind w:firstLine="440"/>
              <w:contextualSpacing w:val="0"/>
              <w:jc w:val="center"/>
              <w:rPr>
                <w:rFonts w:ascii="Calibri" w:eastAsia="Calibri" w:hAnsi="Calibri" w:cs="Calibri"/>
                <w:color w:val="000000"/>
              </w:rPr>
            </w:pPr>
            <w:r>
              <w:rPr>
                <w:rFonts w:ascii="Calibri" w:eastAsia="Calibri" w:hAnsi="Calibri" w:cs="Calibri"/>
                <w:color w:val="000000"/>
              </w:rPr>
              <w:t>7</w:t>
            </w:r>
          </w:p>
        </w:tc>
        <w:tc>
          <w:tcPr>
            <w:tcW w:w="960" w:type="dxa"/>
            <w:tcBorders>
              <w:top w:val="nil"/>
              <w:left w:val="nil"/>
              <w:bottom w:val="single" w:sz="4" w:space="0" w:color="000000"/>
              <w:right w:val="single" w:sz="4" w:space="0" w:color="000000"/>
            </w:tcBorders>
            <w:shd w:val="clear" w:color="auto" w:fill="FFFFFF"/>
            <w:vAlign w:val="bottom"/>
          </w:tcPr>
          <w:p w14:paraId="1E763C36" w14:textId="77777777" w:rsidR="009230BD" w:rsidRDefault="009230BD" w:rsidP="00E205FF">
            <w:pPr>
              <w:spacing w:line="240" w:lineRule="auto"/>
              <w:ind w:firstLine="440"/>
              <w:contextualSpacing w:val="0"/>
              <w:jc w:val="center"/>
              <w:rPr>
                <w:rFonts w:ascii="Calibri" w:eastAsia="Calibri" w:hAnsi="Calibri" w:cs="Calibri"/>
                <w:color w:val="000000"/>
              </w:rPr>
            </w:pPr>
            <w:r>
              <w:rPr>
                <w:rFonts w:ascii="Calibri" w:eastAsia="Calibri" w:hAnsi="Calibri" w:cs="Calibri"/>
                <w:color w:val="000000"/>
              </w:rPr>
              <w:t>8</w:t>
            </w:r>
          </w:p>
        </w:tc>
      </w:tr>
      <w:tr w:rsidR="00080165" w14:paraId="140C9425" w14:textId="77777777" w:rsidTr="00BF0E4C">
        <w:trPr>
          <w:trHeight w:val="300"/>
        </w:trPr>
        <w:tc>
          <w:tcPr>
            <w:tcW w:w="960" w:type="dxa"/>
            <w:tcBorders>
              <w:top w:val="nil"/>
              <w:left w:val="single" w:sz="4" w:space="0" w:color="000000"/>
              <w:bottom w:val="nil"/>
              <w:right w:val="single" w:sz="4" w:space="0" w:color="000000"/>
            </w:tcBorders>
            <w:shd w:val="clear" w:color="auto" w:fill="FFFFFF"/>
            <w:vAlign w:val="bottom"/>
          </w:tcPr>
          <w:p w14:paraId="009C4880" w14:textId="77777777" w:rsidR="00080165" w:rsidRDefault="00080165" w:rsidP="00080165">
            <w:pPr>
              <w:spacing w:line="240" w:lineRule="auto"/>
              <w:contextualSpacing w:val="0"/>
              <w:jc w:val="center"/>
              <w:rPr>
                <w:rFonts w:ascii="Calibri" w:eastAsia="Calibri" w:hAnsi="Calibri" w:cs="Calibri"/>
                <w:color w:val="000000"/>
              </w:rPr>
            </w:pPr>
            <w:r>
              <w:rPr>
                <w:rFonts w:ascii="Calibri" w:eastAsia="Calibri" w:hAnsi="Calibri" w:cs="Calibri"/>
                <w:color w:val="000000"/>
              </w:rPr>
              <w:t>30</w:t>
            </w:r>
          </w:p>
        </w:tc>
        <w:tc>
          <w:tcPr>
            <w:tcW w:w="960" w:type="dxa"/>
            <w:tcBorders>
              <w:top w:val="nil"/>
              <w:left w:val="nil"/>
              <w:bottom w:val="nil"/>
              <w:right w:val="nil"/>
            </w:tcBorders>
            <w:shd w:val="clear" w:color="auto" w:fill="EDEDED"/>
            <w:vAlign w:val="center"/>
          </w:tcPr>
          <w:p w14:paraId="0695F958" w14:textId="0D989755"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color w:val="000000"/>
                <w:sz w:val="20"/>
                <w:szCs w:val="20"/>
              </w:rPr>
              <w:t>16,050</w:t>
            </w:r>
          </w:p>
        </w:tc>
        <w:tc>
          <w:tcPr>
            <w:tcW w:w="960" w:type="dxa"/>
            <w:tcBorders>
              <w:top w:val="nil"/>
              <w:left w:val="nil"/>
              <w:bottom w:val="nil"/>
              <w:right w:val="nil"/>
            </w:tcBorders>
            <w:shd w:val="clear" w:color="auto" w:fill="EDEDED"/>
            <w:vAlign w:val="center"/>
          </w:tcPr>
          <w:p w14:paraId="428B6A34" w14:textId="35E5E361"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color w:val="000000"/>
                <w:sz w:val="20"/>
                <w:szCs w:val="20"/>
              </w:rPr>
              <w:t>18,350</w:t>
            </w:r>
          </w:p>
        </w:tc>
        <w:tc>
          <w:tcPr>
            <w:tcW w:w="960" w:type="dxa"/>
            <w:tcBorders>
              <w:top w:val="nil"/>
              <w:left w:val="nil"/>
              <w:bottom w:val="nil"/>
              <w:right w:val="nil"/>
            </w:tcBorders>
            <w:shd w:val="clear" w:color="auto" w:fill="EDEDED"/>
            <w:vAlign w:val="center"/>
          </w:tcPr>
          <w:p w14:paraId="79762BEE" w14:textId="6BB6E3D7"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color w:val="000000"/>
                <w:sz w:val="20"/>
                <w:szCs w:val="20"/>
              </w:rPr>
              <w:t>21,330</w:t>
            </w:r>
          </w:p>
        </w:tc>
        <w:tc>
          <w:tcPr>
            <w:tcW w:w="960" w:type="dxa"/>
            <w:tcBorders>
              <w:top w:val="nil"/>
              <w:left w:val="nil"/>
              <w:bottom w:val="nil"/>
              <w:right w:val="nil"/>
            </w:tcBorders>
            <w:shd w:val="clear" w:color="auto" w:fill="EDEDED"/>
            <w:vAlign w:val="center"/>
          </w:tcPr>
          <w:p w14:paraId="45803EA6" w14:textId="2486ECB9"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Style w:val="Strong"/>
                <w:rFonts w:asciiTheme="majorHAnsi" w:hAnsiTheme="majorHAnsi" w:cstheme="majorHAnsi"/>
                <w:color w:val="000000"/>
                <w:sz w:val="20"/>
                <w:szCs w:val="20"/>
                <w:bdr w:val="none" w:sz="0" w:space="0" w:color="auto" w:frame="1"/>
              </w:rPr>
              <w:t>25,750</w:t>
            </w:r>
          </w:p>
        </w:tc>
        <w:tc>
          <w:tcPr>
            <w:tcW w:w="960" w:type="dxa"/>
            <w:tcBorders>
              <w:top w:val="nil"/>
              <w:left w:val="nil"/>
              <w:bottom w:val="nil"/>
              <w:right w:val="nil"/>
            </w:tcBorders>
            <w:shd w:val="clear" w:color="auto" w:fill="EDEDED"/>
            <w:vAlign w:val="center"/>
          </w:tcPr>
          <w:p w14:paraId="63F04370" w14:textId="5AB588F5"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color w:val="000000"/>
                <w:sz w:val="20"/>
                <w:szCs w:val="20"/>
              </w:rPr>
              <w:t>30,170</w:t>
            </w:r>
          </w:p>
        </w:tc>
        <w:tc>
          <w:tcPr>
            <w:tcW w:w="960" w:type="dxa"/>
            <w:tcBorders>
              <w:top w:val="nil"/>
              <w:left w:val="nil"/>
              <w:bottom w:val="nil"/>
              <w:right w:val="nil"/>
            </w:tcBorders>
            <w:shd w:val="clear" w:color="auto" w:fill="EDEDED"/>
            <w:vAlign w:val="center"/>
          </w:tcPr>
          <w:p w14:paraId="1358176D" w14:textId="0CB23154"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color w:val="000000"/>
                <w:sz w:val="20"/>
                <w:szCs w:val="20"/>
              </w:rPr>
              <w:t>34,590</w:t>
            </w:r>
          </w:p>
        </w:tc>
        <w:tc>
          <w:tcPr>
            <w:tcW w:w="960" w:type="dxa"/>
            <w:tcBorders>
              <w:top w:val="nil"/>
              <w:left w:val="nil"/>
              <w:bottom w:val="nil"/>
              <w:right w:val="nil"/>
            </w:tcBorders>
            <w:shd w:val="clear" w:color="auto" w:fill="EDEDED"/>
            <w:vAlign w:val="center"/>
          </w:tcPr>
          <w:p w14:paraId="35876E1D" w14:textId="4717A4ED"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color w:val="000000"/>
                <w:sz w:val="20"/>
                <w:szCs w:val="20"/>
              </w:rPr>
              <w:t>39,010</w:t>
            </w:r>
          </w:p>
        </w:tc>
        <w:tc>
          <w:tcPr>
            <w:tcW w:w="960" w:type="dxa"/>
            <w:tcBorders>
              <w:top w:val="nil"/>
              <w:left w:val="nil"/>
              <w:bottom w:val="nil"/>
              <w:right w:val="single" w:sz="4" w:space="0" w:color="000000"/>
            </w:tcBorders>
            <w:shd w:val="clear" w:color="auto" w:fill="EDEDED"/>
            <w:vAlign w:val="center"/>
          </w:tcPr>
          <w:p w14:paraId="27982D3F" w14:textId="4883E4CC"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color w:val="000000"/>
                <w:sz w:val="20"/>
                <w:szCs w:val="20"/>
              </w:rPr>
              <w:t>43,430</w:t>
            </w:r>
          </w:p>
        </w:tc>
      </w:tr>
      <w:tr w:rsidR="00080165" w14:paraId="75355D95" w14:textId="77777777" w:rsidTr="003A1D6F">
        <w:trPr>
          <w:trHeight w:val="300"/>
        </w:trPr>
        <w:tc>
          <w:tcPr>
            <w:tcW w:w="960" w:type="dxa"/>
            <w:tcBorders>
              <w:top w:val="single" w:sz="4" w:space="0" w:color="000000"/>
              <w:left w:val="single" w:sz="4" w:space="0" w:color="000000"/>
              <w:bottom w:val="nil"/>
              <w:right w:val="single" w:sz="4" w:space="0" w:color="000000"/>
            </w:tcBorders>
            <w:shd w:val="clear" w:color="auto" w:fill="FFFFFF"/>
            <w:vAlign w:val="bottom"/>
          </w:tcPr>
          <w:p w14:paraId="419C0324" w14:textId="77777777" w:rsidR="00080165" w:rsidRDefault="00080165" w:rsidP="00080165">
            <w:pPr>
              <w:spacing w:line="240" w:lineRule="auto"/>
              <w:contextualSpacing w:val="0"/>
              <w:jc w:val="center"/>
              <w:rPr>
                <w:rFonts w:ascii="Calibri" w:eastAsia="Calibri" w:hAnsi="Calibri" w:cs="Calibri"/>
                <w:color w:val="000000"/>
              </w:rPr>
            </w:pPr>
            <w:r>
              <w:rPr>
                <w:rFonts w:ascii="Calibri" w:eastAsia="Calibri" w:hAnsi="Calibri" w:cs="Calibri"/>
                <w:color w:val="000000"/>
              </w:rPr>
              <w:t>50</w:t>
            </w:r>
          </w:p>
        </w:tc>
        <w:tc>
          <w:tcPr>
            <w:tcW w:w="960" w:type="dxa"/>
            <w:tcBorders>
              <w:top w:val="nil"/>
              <w:left w:val="nil"/>
              <w:bottom w:val="nil"/>
              <w:right w:val="nil"/>
            </w:tcBorders>
            <w:shd w:val="clear" w:color="auto" w:fill="EDEDED"/>
            <w:vAlign w:val="center"/>
          </w:tcPr>
          <w:p w14:paraId="193162A8" w14:textId="7DC69A3E"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color w:val="000000"/>
                <w:sz w:val="20"/>
                <w:szCs w:val="20"/>
              </w:rPr>
              <w:t>26,750</w:t>
            </w:r>
          </w:p>
        </w:tc>
        <w:tc>
          <w:tcPr>
            <w:tcW w:w="960" w:type="dxa"/>
            <w:tcBorders>
              <w:top w:val="nil"/>
              <w:left w:val="nil"/>
              <w:bottom w:val="nil"/>
              <w:right w:val="nil"/>
            </w:tcBorders>
            <w:shd w:val="clear" w:color="auto" w:fill="EDEDED"/>
            <w:vAlign w:val="center"/>
          </w:tcPr>
          <w:p w14:paraId="16A2940F" w14:textId="084BB868"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color w:val="000000"/>
                <w:sz w:val="20"/>
                <w:szCs w:val="20"/>
              </w:rPr>
              <w:t>30,550</w:t>
            </w:r>
          </w:p>
        </w:tc>
        <w:tc>
          <w:tcPr>
            <w:tcW w:w="960" w:type="dxa"/>
            <w:tcBorders>
              <w:top w:val="nil"/>
              <w:left w:val="nil"/>
              <w:bottom w:val="nil"/>
              <w:right w:val="nil"/>
            </w:tcBorders>
            <w:shd w:val="clear" w:color="auto" w:fill="EDEDED"/>
            <w:vAlign w:val="center"/>
          </w:tcPr>
          <w:p w14:paraId="7616D2CC" w14:textId="5A000CD4"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color w:val="000000"/>
                <w:sz w:val="20"/>
                <w:szCs w:val="20"/>
              </w:rPr>
              <w:t>34,350</w:t>
            </w:r>
          </w:p>
        </w:tc>
        <w:tc>
          <w:tcPr>
            <w:tcW w:w="960" w:type="dxa"/>
            <w:tcBorders>
              <w:top w:val="nil"/>
              <w:left w:val="nil"/>
              <w:bottom w:val="nil"/>
              <w:right w:val="nil"/>
            </w:tcBorders>
            <w:shd w:val="clear" w:color="auto" w:fill="EDEDED"/>
            <w:vAlign w:val="center"/>
          </w:tcPr>
          <w:p w14:paraId="64A1C3A9" w14:textId="419F8B04"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Style w:val="Strong"/>
                <w:rFonts w:asciiTheme="majorHAnsi" w:hAnsiTheme="majorHAnsi" w:cstheme="majorHAnsi"/>
                <w:color w:val="000000"/>
                <w:sz w:val="20"/>
                <w:szCs w:val="20"/>
                <w:bdr w:val="none" w:sz="0" w:space="0" w:color="auto" w:frame="1"/>
              </w:rPr>
              <w:t>38,150</w:t>
            </w:r>
          </w:p>
        </w:tc>
        <w:tc>
          <w:tcPr>
            <w:tcW w:w="960" w:type="dxa"/>
            <w:tcBorders>
              <w:top w:val="nil"/>
              <w:left w:val="nil"/>
              <w:bottom w:val="nil"/>
              <w:right w:val="nil"/>
            </w:tcBorders>
            <w:shd w:val="clear" w:color="auto" w:fill="EDEDED"/>
            <w:vAlign w:val="center"/>
          </w:tcPr>
          <w:p w14:paraId="2CDC056F" w14:textId="7012F9E5"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color w:val="000000"/>
                <w:sz w:val="20"/>
                <w:szCs w:val="20"/>
              </w:rPr>
              <w:t>41,250</w:t>
            </w:r>
          </w:p>
        </w:tc>
        <w:tc>
          <w:tcPr>
            <w:tcW w:w="960" w:type="dxa"/>
            <w:tcBorders>
              <w:top w:val="nil"/>
              <w:left w:val="nil"/>
              <w:bottom w:val="nil"/>
              <w:right w:val="nil"/>
            </w:tcBorders>
            <w:shd w:val="clear" w:color="auto" w:fill="EDEDED"/>
            <w:vAlign w:val="center"/>
          </w:tcPr>
          <w:p w14:paraId="0FC94167" w14:textId="457DAB82"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color w:val="000000"/>
                <w:sz w:val="20"/>
                <w:szCs w:val="20"/>
              </w:rPr>
              <w:t>44,300</w:t>
            </w:r>
          </w:p>
        </w:tc>
        <w:tc>
          <w:tcPr>
            <w:tcW w:w="960" w:type="dxa"/>
            <w:tcBorders>
              <w:top w:val="nil"/>
              <w:left w:val="nil"/>
              <w:bottom w:val="nil"/>
              <w:right w:val="nil"/>
            </w:tcBorders>
            <w:shd w:val="clear" w:color="auto" w:fill="EDEDED"/>
            <w:vAlign w:val="center"/>
          </w:tcPr>
          <w:p w14:paraId="36DECA3C" w14:textId="30A98714"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color w:val="000000"/>
                <w:sz w:val="20"/>
                <w:szCs w:val="20"/>
              </w:rPr>
              <w:t>47,350</w:t>
            </w:r>
          </w:p>
        </w:tc>
        <w:tc>
          <w:tcPr>
            <w:tcW w:w="960" w:type="dxa"/>
            <w:tcBorders>
              <w:top w:val="nil"/>
              <w:left w:val="nil"/>
              <w:bottom w:val="nil"/>
              <w:right w:val="single" w:sz="4" w:space="0" w:color="000000"/>
            </w:tcBorders>
            <w:shd w:val="clear" w:color="auto" w:fill="EDEDED"/>
            <w:vAlign w:val="center"/>
          </w:tcPr>
          <w:p w14:paraId="1C013405" w14:textId="5F61AD68"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color w:val="000000"/>
                <w:sz w:val="20"/>
                <w:szCs w:val="20"/>
              </w:rPr>
              <w:t>50,400</w:t>
            </w:r>
          </w:p>
        </w:tc>
      </w:tr>
      <w:tr w:rsidR="00080165" w14:paraId="13EDC203" w14:textId="77777777" w:rsidTr="00B31CD5">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B541F0F" w14:textId="77777777" w:rsidR="00080165" w:rsidRDefault="00080165" w:rsidP="00080165">
            <w:pPr>
              <w:spacing w:line="240" w:lineRule="auto"/>
              <w:contextualSpacing w:val="0"/>
              <w:jc w:val="center"/>
              <w:rPr>
                <w:rFonts w:ascii="Calibri" w:eastAsia="Calibri" w:hAnsi="Calibri" w:cs="Calibri"/>
                <w:color w:val="000000"/>
              </w:rPr>
            </w:pPr>
            <w:r>
              <w:rPr>
                <w:rFonts w:ascii="Calibri" w:eastAsia="Calibri" w:hAnsi="Calibri" w:cs="Calibri"/>
                <w:color w:val="000000"/>
              </w:rPr>
              <w:t>80</w:t>
            </w:r>
          </w:p>
        </w:tc>
        <w:tc>
          <w:tcPr>
            <w:tcW w:w="960" w:type="dxa"/>
            <w:tcBorders>
              <w:top w:val="nil"/>
              <w:left w:val="nil"/>
              <w:bottom w:val="single" w:sz="4" w:space="0" w:color="000000"/>
              <w:right w:val="nil"/>
            </w:tcBorders>
            <w:shd w:val="clear" w:color="auto" w:fill="EDEDED"/>
            <w:vAlign w:val="center"/>
          </w:tcPr>
          <w:p w14:paraId="053834BB" w14:textId="4AE1BDF5"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color w:val="000000"/>
                <w:sz w:val="20"/>
                <w:szCs w:val="20"/>
              </w:rPr>
              <w:t>42,750</w:t>
            </w:r>
          </w:p>
        </w:tc>
        <w:tc>
          <w:tcPr>
            <w:tcW w:w="960" w:type="dxa"/>
            <w:tcBorders>
              <w:top w:val="nil"/>
              <w:left w:val="nil"/>
              <w:bottom w:val="single" w:sz="4" w:space="0" w:color="000000"/>
              <w:right w:val="nil"/>
            </w:tcBorders>
            <w:shd w:val="clear" w:color="auto" w:fill="EDEDED"/>
            <w:vAlign w:val="center"/>
          </w:tcPr>
          <w:p w14:paraId="584B98D6" w14:textId="4F65F8DB"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color w:val="000000"/>
                <w:sz w:val="20"/>
                <w:szCs w:val="20"/>
              </w:rPr>
              <w:t>48,850</w:t>
            </w:r>
          </w:p>
        </w:tc>
        <w:tc>
          <w:tcPr>
            <w:tcW w:w="960" w:type="dxa"/>
            <w:tcBorders>
              <w:top w:val="nil"/>
              <w:left w:val="nil"/>
              <w:bottom w:val="single" w:sz="4" w:space="0" w:color="000000"/>
              <w:right w:val="nil"/>
            </w:tcBorders>
            <w:shd w:val="clear" w:color="auto" w:fill="EDEDED"/>
            <w:vAlign w:val="center"/>
          </w:tcPr>
          <w:p w14:paraId="67333EB4" w14:textId="67FDE014"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color w:val="000000"/>
                <w:sz w:val="20"/>
                <w:szCs w:val="20"/>
              </w:rPr>
              <w:t>54,950</w:t>
            </w:r>
          </w:p>
        </w:tc>
        <w:tc>
          <w:tcPr>
            <w:tcW w:w="960" w:type="dxa"/>
            <w:tcBorders>
              <w:top w:val="nil"/>
              <w:left w:val="nil"/>
              <w:bottom w:val="single" w:sz="4" w:space="0" w:color="000000"/>
              <w:right w:val="nil"/>
            </w:tcBorders>
            <w:shd w:val="clear" w:color="auto" w:fill="EDEDED"/>
            <w:vAlign w:val="center"/>
          </w:tcPr>
          <w:p w14:paraId="33F96DFC" w14:textId="03FBF617"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Style w:val="Strong"/>
                <w:rFonts w:asciiTheme="majorHAnsi" w:hAnsiTheme="majorHAnsi" w:cstheme="majorHAnsi"/>
                <w:color w:val="000000"/>
                <w:sz w:val="20"/>
                <w:szCs w:val="20"/>
                <w:bdr w:val="none" w:sz="0" w:space="0" w:color="auto" w:frame="1"/>
              </w:rPr>
              <w:t>61,050</w:t>
            </w:r>
          </w:p>
        </w:tc>
        <w:tc>
          <w:tcPr>
            <w:tcW w:w="960" w:type="dxa"/>
            <w:tcBorders>
              <w:top w:val="nil"/>
              <w:left w:val="nil"/>
              <w:bottom w:val="single" w:sz="4" w:space="0" w:color="000000"/>
              <w:right w:val="nil"/>
            </w:tcBorders>
            <w:shd w:val="clear" w:color="auto" w:fill="EDEDED"/>
            <w:vAlign w:val="center"/>
          </w:tcPr>
          <w:p w14:paraId="02FD3A49" w14:textId="03F4BFD3"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color w:val="000000"/>
                <w:sz w:val="20"/>
                <w:szCs w:val="20"/>
              </w:rPr>
              <w:t>65,950</w:t>
            </w:r>
          </w:p>
        </w:tc>
        <w:tc>
          <w:tcPr>
            <w:tcW w:w="960" w:type="dxa"/>
            <w:tcBorders>
              <w:top w:val="nil"/>
              <w:left w:val="nil"/>
              <w:bottom w:val="single" w:sz="4" w:space="0" w:color="000000"/>
              <w:right w:val="nil"/>
            </w:tcBorders>
            <w:shd w:val="clear" w:color="auto" w:fill="EDEDED"/>
            <w:vAlign w:val="center"/>
          </w:tcPr>
          <w:p w14:paraId="47B1BEE9" w14:textId="5A2B942E"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color w:val="000000"/>
                <w:sz w:val="20"/>
                <w:szCs w:val="20"/>
              </w:rPr>
              <w:t>70,850</w:t>
            </w:r>
          </w:p>
        </w:tc>
        <w:tc>
          <w:tcPr>
            <w:tcW w:w="960" w:type="dxa"/>
            <w:tcBorders>
              <w:top w:val="nil"/>
              <w:left w:val="nil"/>
              <w:bottom w:val="single" w:sz="4" w:space="0" w:color="000000"/>
              <w:right w:val="nil"/>
            </w:tcBorders>
            <w:shd w:val="clear" w:color="auto" w:fill="EDEDED"/>
            <w:vAlign w:val="center"/>
          </w:tcPr>
          <w:p w14:paraId="08F5D9ED" w14:textId="434AF4EA"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color w:val="000000"/>
                <w:sz w:val="20"/>
                <w:szCs w:val="20"/>
              </w:rPr>
              <w:t>75,750</w:t>
            </w:r>
          </w:p>
        </w:tc>
        <w:tc>
          <w:tcPr>
            <w:tcW w:w="960" w:type="dxa"/>
            <w:tcBorders>
              <w:top w:val="nil"/>
              <w:left w:val="nil"/>
              <w:bottom w:val="single" w:sz="4" w:space="0" w:color="000000"/>
              <w:right w:val="single" w:sz="4" w:space="0" w:color="000000"/>
            </w:tcBorders>
            <w:shd w:val="clear" w:color="auto" w:fill="EDEDED"/>
            <w:vAlign w:val="center"/>
          </w:tcPr>
          <w:p w14:paraId="5AB60514" w14:textId="4E4983C8" w:rsidR="00080165" w:rsidRPr="00080165" w:rsidRDefault="00080165" w:rsidP="00080165">
            <w:pPr>
              <w:spacing w:line="240" w:lineRule="auto"/>
              <w:contextualSpacing w:val="0"/>
              <w:jc w:val="center"/>
              <w:rPr>
                <w:rFonts w:asciiTheme="majorHAnsi" w:eastAsia="Calibri" w:hAnsiTheme="majorHAnsi" w:cstheme="majorHAnsi"/>
                <w:color w:val="000000"/>
                <w:sz w:val="20"/>
                <w:szCs w:val="20"/>
              </w:rPr>
            </w:pPr>
            <w:r w:rsidRPr="00080165">
              <w:rPr>
                <w:rFonts w:asciiTheme="majorHAnsi" w:hAnsiTheme="majorHAnsi" w:cstheme="majorHAnsi"/>
                <w:color w:val="000000"/>
                <w:sz w:val="20"/>
                <w:szCs w:val="20"/>
              </w:rPr>
              <w:t>80,600</w:t>
            </w:r>
          </w:p>
        </w:tc>
      </w:tr>
    </w:tbl>
    <w:p w14:paraId="2338963A" w14:textId="77777777" w:rsidR="001B3269" w:rsidRDefault="001B3269">
      <w:pPr>
        <w:contextualSpacing w:val="0"/>
      </w:pPr>
    </w:p>
    <w:p w14:paraId="7B0F96CF" w14:textId="77777777" w:rsidR="009230BD" w:rsidRDefault="009230BD">
      <w:pPr>
        <w:contextualSpacing w:val="0"/>
      </w:pPr>
    </w:p>
    <w:p w14:paraId="20196A74" w14:textId="6DCCAE4F" w:rsidR="001B3269" w:rsidRPr="009F48AF" w:rsidRDefault="00CF6B9F">
      <w:pPr>
        <w:contextualSpacing w:val="0"/>
        <w:jc w:val="both"/>
      </w:pPr>
      <w:r>
        <w:t xml:space="preserve">The </w:t>
      </w:r>
      <w:r w:rsidR="006E3879">
        <w:t>City</w:t>
      </w:r>
      <w:r>
        <w:t xml:space="preserve"> has not experienced a significant level of requests for </w:t>
      </w:r>
      <w:r>
        <w:rPr>
          <w:b/>
        </w:rPr>
        <w:t>public services</w:t>
      </w:r>
      <w:r>
        <w:t xml:space="preserve"> related to 2016 Floods recovery. If a significant need arises during the implementation of the proposed housing program the </w:t>
      </w:r>
      <w:r w:rsidR="00533A19">
        <w:t xml:space="preserve">City </w:t>
      </w:r>
      <w:r>
        <w:t xml:space="preserve">will consider amending its method of distribution and requesting an amendment </w:t>
      </w:r>
      <w:r w:rsidRPr="009F48AF">
        <w:t>to its grant agreement with GLO to add services.</w:t>
      </w:r>
    </w:p>
    <w:p w14:paraId="0A15A34F" w14:textId="77777777" w:rsidR="001B3269" w:rsidRPr="009F48AF" w:rsidRDefault="001B3269">
      <w:pPr>
        <w:contextualSpacing w:val="0"/>
        <w:jc w:val="both"/>
      </w:pPr>
    </w:p>
    <w:p w14:paraId="7B26C5E4" w14:textId="16DC6A84" w:rsidR="001B3269" w:rsidRPr="009F48AF" w:rsidRDefault="00CF6B9F">
      <w:pPr>
        <w:contextualSpacing w:val="0"/>
        <w:jc w:val="both"/>
      </w:pPr>
      <w:r w:rsidRPr="009F48AF">
        <w:t>HUD’s FY 201</w:t>
      </w:r>
      <w:r w:rsidR="00AE7674" w:rsidRPr="009F48AF">
        <w:t>9</w:t>
      </w:r>
      <w:r w:rsidRPr="009F48AF">
        <w:t xml:space="preserve"> LMISD </w:t>
      </w:r>
      <w:r w:rsidRPr="00CA7832">
        <w:t>reports</w:t>
      </w:r>
      <w:r w:rsidRPr="00CA7832">
        <w:rPr>
          <w:b/>
        </w:rPr>
        <w:t xml:space="preserve"> </w:t>
      </w:r>
      <w:r w:rsidRPr="003E4722">
        <w:rPr>
          <w:b/>
        </w:rPr>
        <w:t>LMI households</w:t>
      </w:r>
      <w:r w:rsidRPr="003E4722">
        <w:t xml:space="preserve"> comprise </w:t>
      </w:r>
      <w:r w:rsidR="009C5FCD" w:rsidRPr="003E4722">
        <w:t xml:space="preserve">23% of </w:t>
      </w:r>
      <w:r w:rsidR="00EE75A6" w:rsidRPr="003E4722">
        <w:t>all persons</w:t>
      </w:r>
      <w:r w:rsidR="00EE75A6" w:rsidRPr="00CA7832">
        <w:t xml:space="preserve"> in the</w:t>
      </w:r>
      <w:r w:rsidR="00EE75A6">
        <w:t xml:space="preserve"> City of </w:t>
      </w:r>
      <w:r w:rsidR="00080165">
        <w:t>Brookshire</w:t>
      </w:r>
      <w:r w:rsidR="00EE75A6">
        <w:t>. The Cit</w:t>
      </w:r>
      <w:r w:rsidRPr="009F48AF">
        <w:t xml:space="preserve">y may use HUD data to help identify specific homeowners that have Unmet Housing Needs for direct outreach, if such use is permitted by GLO. </w:t>
      </w:r>
    </w:p>
    <w:p w14:paraId="1982C4E0" w14:textId="77777777" w:rsidR="001B3269" w:rsidRPr="009F48AF" w:rsidRDefault="001B3269">
      <w:pPr>
        <w:contextualSpacing w:val="0"/>
        <w:jc w:val="both"/>
      </w:pPr>
    </w:p>
    <w:p w14:paraId="0629D5EC" w14:textId="36A6D5F9" w:rsidR="0099700B" w:rsidRDefault="00CF6B9F">
      <w:pPr>
        <w:contextualSpacing w:val="0"/>
        <w:jc w:val="both"/>
      </w:pPr>
      <w:r w:rsidRPr="009F48AF">
        <w:t xml:space="preserve">The State of Texas Action Plan as amended (July 16, 2018) </w:t>
      </w:r>
      <w:r w:rsidRPr="009F48AF">
        <w:rPr>
          <w:b/>
        </w:rPr>
        <w:t xml:space="preserve">distributes </w:t>
      </w:r>
      <w:r w:rsidRPr="009F48AF">
        <w:t xml:space="preserve">CDBG-DR Housing funds to </w:t>
      </w:r>
      <w:r w:rsidR="00A471E7" w:rsidRPr="009F48AF">
        <w:t xml:space="preserve">the City of </w:t>
      </w:r>
      <w:r w:rsidR="00080165">
        <w:t>Brookshire</w:t>
      </w:r>
      <w:r w:rsidR="00A471E7" w:rsidRPr="009F48AF">
        <w:t>.</w:t>
      </w:r>
      <w:r w:rsidRPr="009F48AF">
        <w:t xml:space="preserve"> These funds will be allocated to the various income categories in the next section</w:t>
      </w:r>
      <w:r>
        <w:t>.</w:t>
      </w:r>
    </w:p>
    <w:p w14:paraId="28BBC620" w14:textId="77777777" w:rsidR="001B3269" w:rsidRDefault="00CF6B9F">
      <w:pPr>
        <w:pStyle w:val="Heading1"/>
        <w:contextualSpacing w:val="0"/>
        <w:jc w:val="both"/>
        <w:rPr>
          <w:b/>
          <w:color w:val="006600"/>
          <w:sz w:val="36"/>
          <w:szCs w:val="36"/>
        </w:rPr>
      </w:pPr>
      <w:bookmarkStart w:id="5" w:name="_2et92p0" w:colFirst="0" w:colLast="0"/>
      <w:bookmarkEnd w:id="5"/>
      <w:r>
        <w:rPr>
          <w:b/>
          <w:color w:val="006600"/>
          <w:sz w:val="36"/>
          <w:szCs w:val="36"/>
        </w:rPr>
        <w:t>Needs Methodology</w:t>
      </w:r>
    </w:p>
    <w:p w14:paraId="46AC8993" w14:textId="4A8DFF54" w:rsidR="001B3269" w:rsidRDefault="00CF6B9F">
      <w:pPr>
        <w:contextualSpacing w:val="0"/>
        <w:jc w:val="both"/>
      </w:pPr>
      <w:r w:rsidRPr="00656E93">
        <w:t xml:space="preserve">GLO provided the </w:t>
      </w:r>
      <w:r w:rsidR="005E1010" w:rsidRPr="00656E93">
        <w:t xml:space="preserve">City of </w:t>
      </w:r>
      <w:r w:rsidR="00EA0200">
        <w:t>Brookshire</w:t>
      </w:r>
      <w:r w:rsidR="00091941" w:rsidRPr="00656E93">
        <w:t xml:space="preserve"> with</w:t>
      </w:r>
      <w:r w:rsidRPr="00656E93">
        <w:t xml:space="preserve"> an </w:t>
      </w:r>
      <w:r w:rsidRPr="00656E93">
        <w:rPr>
          <w:b/>
        </w:rPr>
        <w:t>analysis of income categories</w:t>
      </w:r>
      <w:r w:rsidRPr="00656E93">
        <w:t xml:space="preserve"> for households affected by the disaster, with applicable </w:t>
      </w:r>
      <w:r w:rsidRPr="00656E93">
        <w:rPr>
          <w:b/>
        </w:rPr>
        <w:t>floor and ceiling goal percentages</w:t>
      </w:r>
      <w:r w:rsidRPr="00656E93">
        <w:t>:</w:t>
      </w:r>
    </w:p>
    <w:p w14:paraId="64269EF9" w14:textId="77777777" w:rsidR="001B3269" w:rsidRDefault="001B3269">
      <w:pPr>
        <w:contextualSpacing w:val="0"/>
        <w:rPr>
          <w:highlight w:val="yellow"/>
        </w:rPr>
      </w:pPr>
    </w:p>
    <w:tbl>
      <w:tblPr>
        <w:tblStyle w:val="a1"/>
        <w:tblW w:w="7423" w:type="dxa"/>
        <w:tblInd w:w="355" w:type="dxa"/>
        <w:tblLayout w:type="fixed"/>
        <w:tblLook w:val="0400" w:firstRow="0" w:lastRow="0" w:firstColumn="0" w:lastColumn="0" w:noHBand="0" w:noVBand="1"/>
      </w:tblPr>
      <w:tblGrid>
        <w:gridCol w:w="3083"/>
        <w:gridCol w:w="1890"/>
        <w:gridCol w:w="1260"/>
        <w:gridCol w:w="1190"/>
      </w:tblGrid>
      <w:tr w:rsidR="001B3269" w:rsidRPr="006903D2" w14:paraId="44A0EA59" w14:textId="77777777" w:rsidTr="008D50FA">
        <w:trPr>
          <w:trHeight w:val="900"/>
        </w:trPr>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AD96BE" w14:textId="77777777" w:rsidR="001B3269" w:rsidRPr="005E1010" w:rsidRDefault="00CF6B9F">
            <w:pPr>
              <w:spacing w:line="240" w:lineRule="auto"/>
              <w:contextualSpacing w:val="0"/>
              <w:jc w:val="center"/>
              <w:rPr>
                <w:rFonts w:ascii="Calibri" w:eastAsia="Calibri" w:hAnsi="Calibri" w:cs="Calibri"/>
                <w:color w:val="000000"/>
              </w:rPr>
            </w:pPr>
            <w:r w:rsidRPr="005E1010">
              <w:rPr>
                <w:rFonts w:ascii="Calibri" w:eastAsia="Calibri" w:hAnsi="Calibri" w:cs="Calibri"/>
                <w:color w:val="000000"/>
              </w:rPr>
              <w:lastRenderedPageBreak/>
              <w:t>Income Group</w:t>
            </w:r>
          </w:p>
        </w:tc>
        <w:tc>
          <w:tcPr>
            <w:tcW w:w="1890" w:type="dxa"/>
            <w:tcBorders>
              <w:top w:val="single" w:sz="4" w:space="0" w:color="000000"/>
              <w:left w:val="nil"/>
              <w:bottom w:val="single" w:sz="4" w:space="0" w:color="000000"/>
              <w:right w:val="single" w:sz="4" w:space="0" w:color="000000"/>
            </w:tcBorders>
            <w:shd w:val="clear" w:color="auto" w:fill="auto"/>
            <w:vAlign w:val="bottom"/>
          </w:tcPr>
          <w:p w14:paraId="767CBA28" w14:textId="77777777" w:rsidR="001B3269" w:rsidRPr="005E1010" w:rsidRDefault="00CF6B9F">
            <w:pPr>
              <w:spacing w:line="240" w:lineRule="auto"/>
              <w:contextualSpacing w:val="0"/>
              <w:jc w:val="center"/>
              <w:rPr>
                <w:rFonts w:ascii="Calibri" w:eastAsia="Calibri" w:hAnsi="Calibri" w:cs="Calibri"/>
                <w:color w:val="000000"/>
              </w:rPr>
            </w:pPr>
            <w:r w:rsidRPr="005E1010">
              <w:rPr>
                <w:rFonts w:ascii="Calibri" w:eastAsia="Calibri" w:hAnsi="Calibri" w:cs="Calibri"/>
                <w:color w:val="000000"/>
              </w:rPr>
              <w:t>Count Of Applicant Name</w:t>
            </w:r>
          </w:p>
        </w:tc>
        <w:tc>
          <w:tcPr>
            <w:tcW w:w="1260" w:type="dxa"/>
            <w:tcBorders>
              <w:top w:val="single" w:sz="4" w:space="0" w:color="000000"/>
              <w:left w:val="nil"/>
              <w:bottom w:val="single" w:sz="4" w:space="0" w:color="000000"/>
              <w:right w:val="single" w:sz="4" w:space="0" w:color="000000"/>
            </w:tcBorders>
            <w:shd w:val="clear" w:color="auto" w:fill="auto"/>
            <w:vAlign w:val="bottom"/>
          </w:tcPr>
          <w:p w14:paraId="29FE8725" w14:textId="77777777" w:rsidR="001B3269" w:rsidRPr="005E1010" w:rsidRDefault="00CF6B9F">
            <w:pPr>
              <w:spacing w:line="240" w:lineRule="auto"/>
              <w:contextualSpacing w:val="0"/>
              <w:jc w:val="center"/>
              <w:rPr>
                <w:rFonts w:ascii="Calibri" w:eastAsia="Calibri" w:hAnsi="Calibri" w:cs="Calibri"/>
                <w:color w:val="000000"/>
              </w:rPr>
            </w:pPr>
            <w:r w:rsidRPr="005E1010">
              <w:rPr>
                <w:rFonts w:ascii="Calibri" w:eastAsia="Calibri" w:hAnsi="Calibri" w:cs="Calibri"/>
                <w:color w:val="000000"/>
              </w:rPr>
              <w:t>Floor</w:t>
            </w:r>
          </w:p>
        </w:tc>
        <w:tc>
          <w:tcPr>
            <w:tcW w:w="1190" w:type="dxa"/>
            <w:tcBorders>
              <w:top w:val="single" w:sz="4" w:space="0" w:color="000000"/>
              <w:left w:val="nil"/>
              <w:bottom w:val="single" w:sz="4" w:space="0" w:color="000000"/>
              <w:right w:val="single" w:sz="4" w:space="0" w:color="000000"/>
            </w:tcBorders>
            <w:shd w:val="clear" w:color="auto" w:fill="auto"/>
            <w:vAlign w:val="bottom"/>
          </w:tcPr>
          <w:p w14:paraId="24935E99" w14:textId="77777777" w:rsidR="001B3269" w:rsidRPr="006903D2" w:rsidRDefault="00CF6B9F">
            <w:pPr>
              <w:spacing w:line="240" w:lineRule="auto"/>
              <w:contextualSpacing w:val="0"/>
              <w:jc w:val="center"/>
              <w:rPr>
                <w:rFonts w:ascii="Calibri" w:eastAsia="Calibri" w:hAnsi="Calibri" w:cs="Calibri"/>
                <w:color w:val="000000"/>
                <w:highlight w:val="yellow"/>
              </w:rPr>
            </w:pPr>
            <w:r w:rsidRPr="005E1010">
              <w:rPr>
                <w:rFonts w:ascii="Calibri" w:eastAsia="Calibri" w:hAnsi="Calibri" w:cs="Calibri"/>
                <w:color w:val="000000"/>
              </w:rPr>
              <w:t>Ceiling</w:t>
            </w:r>
          </w:p>
        </w:tc>
      </w:tr>
      <w:tr w:rsidR="008C5876" w:rsidRPr="006903D2" w14:paraId="47BA5AD3" w14:textId="77777777" w:rsidTr="00457B35">
        <w:trPr>
          <w:trHeight w:val="300"/>
        </w:trPr>
        <w:tc>
          <w:tcPr>
            <w:tcW w:w="3083" w:type="dxa"/>
            <w:tcBorders>
              <w:top w:val="nil"/>
              <w:left w:val="single" w:sz="4" w:space="0" w:color="000000"/>
              <w:bottom w:val="single" w:sz="4" w:space="0" w:color="000000"/>
              <w:right w:val="single" w:sz="4" w:space="0" w:color="000000"/>
            </w:tcBorders>
            <w:shd w:val="clear" w:color="auto" w:fill="auto"/>
            <w:vAlign w:val="bottom"/>
          </w:tcPr>
          <w:p w14:paraId="6C4B3F35" w14:textId="46E8D0EC" w:rsidR="008C5876" w:rsidRPr="005E1010" w:rsidRDefault="008C5876" w:rsidP="008C5876">
            <w:pPr>
              <w:spacing w:line="240" w:lineRule="auto"/>
              <w:contextualSpacing w:val="0"/>
              <w:rPr>
                <w:rFonts w:ascii="Calibri" w:eastAsia="Calibri" w:hAnsi="Calibri" w:cs="Calibri"/>
                <w:color w:val="000000"/>
              </w:rPr>
            </w:pPr>
            <w:r w:rsidRPr="005E1010">
              <w:rPr>
                <w:rFonts w:ascii="Calibri" w:eastAsia="Calibri" w:hAnsi="Calibri" w:cs="Calibri"/>
                <w:color w:val="000000"/>
              </w:rPr>
              <w:t>Extremely Low</w:t>
            </w:r>
            <w:r>
              <w:rPr>
                <w:rFonts w:ascii="Calibri" w:eastAsia="Calibri" w:hAnsi="Calibri" w:cs="Calibri"/>
                <w:color w:val="000000"/>
              </w:rPr>
              <w:t xml:space="preserve"> (0 to 30% AMFI)</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tcPr>
          <w:p w14:paraId="1DC4BD28" w14:textId="656B9D60" w:rsidR="008C5876" w:rsidRPr="005E1010" w:rsidRDefault="008C5876" w:rsidP="008C5876">
            <w:pPr>
              <w:spacing w:line="240" w:lineRule="auto"/>
              <w:contextualSpacing w:val="0"/>
              <w:jc w:val="center"/>
              <w:rPr>
                <w:rFonts w:ascii="Calibri" w:eastAsia="Calibri" w:hAnsi="Calibri" w:cs="Calibri"/>
                <w:color w:val="000000"/>
              </w:rPr>
            </w:pPr>
            <w:r>
              <w:rPr>
                <w:rFonts w:ascii="Calibri" w:hAnsi="Calibri" w:cs="Calibri"/>
                <w:color w:val="000000"/>
              </w:rPr>
              <w:t>153</w:t>
            </w:r>
          </w:p>
        </w:tc>
        <w:tc>
          <w:tcPr>
            <w:tcW w:w="1260" w:type="dxa"/>
            <w:tcBorders>
              <w:top w:val="single" w:sz="4" w:space="0" w:color="auto"/>
              <w:left w:val="nil"/>
              <w:bottom w:val="single" w:sz="4" w:space="0" w:color="auto"/>
              <w:right w:val="single" w:sz="4" w:space="0" w:color="auto"/>
            </w:tcBorders>
            <w:shd w:val="clear" w:color="auto" w:fill="auto"/>
            <w:vAlign w:val="bottom"/>
          </w:tcPr>
          <w:p w14:paraId="1F996666" w14:textId="6C8158BE" w:rsidR="008C5876" w:rsidRPr="005E1010" w:rsidRDefault="008C5876" w:rsidP="008C5876">
            <w:pPr>
              <w:spacing w:line="240" w:lineRule="auto"/>
              <w:contextualSpacing w:val="0"/>
              <w:jc w:val="center"/>
              <w:rPr>
                <w:rFonts w:ascii="Calibri" w:eastAsia="Calibri" w:hAnsi="Calibri" w:cs="Calibri"/>
                <w:color w:val="000000"/>
              </w:rPr>
            </w:pPr>
            <w:r>
              <w:rPr>
                <w:rFonts w:ascii="Calibri" w:hAnsi="Calibri" w:cs="Calibri"/>
                <w:color w:val="000000"/>
              </w:rPr>
              <w:t>34.30%</w:t>
            </w:r>
          </w:p>
        </w:tc>
        <w:tc>
          <w:tcPr>
            <w:tcW w:w="1190" w:type="dxa"/>
            <w:tcBorders>
              <w:top w:val="single" w:sz="4" w:space="0" w:color="auto"/>
              <w:left w:val="nil"/>
              <w:bottom w:val="single" w:sz="4" w:space="0" w:color="auto"/>
              <w:right w:val="single" w:sz="4" w:space="0" w:color="auto"/>
            </w:tcBorders>
            <w:shd w:val="clear" w:color="auto" w:fill="auto"/>
            <w:vAlign w:val="bottom"/>
          </w:tcPr>
          <w:p w14:paraId="5AFA19BD" w14:textId="39366E4E" w:rsidR="008C5876" w:rsidRPr="00F21C76" w:rsidRDefault="008C5876" w:rsidP="008C5876">
            <w:pPr>
              <w:spacing w:line="240" w:lineRule="auto"/>
              <w:contextualSpacing w:val="0"/>
              <w:jc w:val="center"/>
              <w:rPr>
                <w:rFonts w:ascii="Calibri" w:eastAsia="Calibri" w:hAnsi="Calibri" w:cs="Calibri"/>
                <w:color w:val="000000"/>
              </w:rPr>
            </w:pPr>
            <w:r>
              <w:rPr>
                <w:rFonts w:ascii="Calibri" w:hAnsi="Calibri" w:cs="Calibri"/>
                <w:color w:val="000000"/>
              </w:rPr>
              <w:t>47.22%</w:t>
            </w:r>
          </w:p>
        </w:tc>
      </w:tr>
      <w:tr w:rsidR="008C5876" w:rsidRPr="006903D2" w14:paraId="28E8EEE2" w14:textId="77777777" w:rsidTr="00457B35">
        <w:trPr>
          <w:trHeight w:val="300"/>
        </w:trPr>
        <w:tc>
          <w:tcPr>
            <w:tcW w:w="3083" w:type="dxa"/>
            <w:tcBorders>
              <w:top w:val="nil"/>
              <w:left w:val="single" w:sz="4" w:space="0" w:color="000000"/>
              <w:bottom w:val="single" w:sz="4" w:space="0" w:color="000000"/>
              <w:right w:val="single" w:sz="4" w:space="0" w:color="000000"/>
            </w:tcBorders>
            <w:shd w:val="clear" w:color="auto" w:fill="auto"/>
            <w:vAlign w:val="bottom"/>
          </w:tcPr>
          <w:p w14:paraId="533B3175" w14:textId="6331B84E" w:rsidR="008C5876" w:rsidRPr="005E1010" w:rsidRDefault="008C5876" w:rsidP="008C5876">
            <w:pPr>
              <w:spacing w:line="240" w:lineRule="auto"/>
              <w:contextualSpacing w:val="0"/>
              <w:rPr>
                <w:rFonts w:ascii="Calibri" w:eastAsia="Calibri" w:hAnsi="Calibri" w:cs="Calibri"/>
                <w:color w:val="000000"/>
              </w:rPr>
            </w:pPr>
            <w:r w:rsidRPr="005E1010">
              <w:rPr>
                <w:rFonts w:ascii="Calibri" w:eastAsia="Calibri" w:hAnsi="Calibri" w:cs="Calibri"/>
                <w:color w:val="000000"/>
              </w:rPr>
              <w:t>Very Low</w:t>
            </w:r>
            <w:r>
              <w:rPr>
                <w:rFonts w:ascii="Calibri" w:eastAsia="Calibri" w:hAnsi="Calibri" w:cs="Calibri"/>
                <w:color w:val="000000"/>
              </w:rPr>
              <w:t xml:space="preserve"> (30 to 50% AMFI)</w:t>
            </w:r>
          </w:p>
        </w:tc>
        <w:tc>
          <w:tcPr>
            <w:tcW w:w="1890" w:type="dxa"/>
            <w:tcBorders>
              <w:top w:val="nil"/>
              <w:left w:val="single" w:sz="4" w:space="0" w:color="auto"/>
              <w:bottom w:val="single" w:sz="4" w:space="0" w:color="auto"/>
              <w:right w:val="single" w:sz="4" w:space="0" w:color="auto"/>
            </w:tcBorders>
            <w:shd w:val="clear" w:color="auto" w:fill="auto"/>
            <w:vAlign w:val="bottom"/>
          </w:tcPr>
          <w:p w14:paraId="20E5496C" w14:textId="783274C8" w:rsidR="008C5876" w:rsidRPr="005E1010" w:rsidRDefault="008C5876" w:rsidP="008C5876">
            <w:pPr>
              <w:spacing w:line="240" w:lineRule="auto"/>
              <w:contextualSpacing w:val="0"/>
              <w:jc w:val="center"/>
              <w:rPr>
                <w:rFonts w:ascii="Calibri" w:eastAsia="Calibri" w:hAnsi="Calibri" w:cs="Calibri"/>
                <w:color w:val="000000"/>
              </w:rPr>
            </w:pPr>
            <w:r>
              <w:rPr>
                <w:rFonts w:ascii="Calibri" w:hAnsi="Calibri" w:cs="Calibri"/>
                <w:color w:val="000000"/>
              </w:rPr>
              <w:t>87</w:t>
            </w:r>
          </w:p>
        </w:tc>
        <w:tc>
          <w:tcPr>
            <w:tcW w:w="1260" w:type="dxa"/>
            <w:tcBorders>
              <w:top w:val="nil"/>
              <w:left w:val="nil"/>
              <w:bottom w:val="single" w:sz="4" w:space="0" w:color="auto"/>
              <w:right w:val="single" w:sz="4" w:space="0" w:color="auto"/>
            </w:tcBorders>
            <w:shd w:val="clear" w:color="auto" w:fill="auto"/>
            <w:vAlign w:val="bottom"/>
          </w:tcPr>
          <w:p w14:paraId="173E67A3" w14:textId="42B723AD" w:rsidR="008C5876" w:rsidRPr="005E1010" w:rsidRDefault="008C5876" w:rsidP="008C5876">
            <w:pPr>
              <w:spacing w:line="240" w:lineRule="auto"/>
              <w:contextualSpacing w:val="0"/>
              <w:jc w:val="center"/>
              <w:rPr>
                <w:rFonts w:ascii="Calibri" w:eastAsia="Calibri" w:hAnsi="Calibri" w:cs="Calibri"/>
                <w:color w:val="000000"/>
              </w:rPr>
            </w:pPr>
            <w:r>
              <w:rPr>
                <w:rFonts w:ascii="Calibri" w:hAnsi="Calibri" w:cs="Calibri"/>
                <w:color w:val="000000"/>
              </w:rPr>
              <w:t>19.51%</w:t>
            </w:r>
          </w:p>
        </w:tc>
        <w:tc>
          <w:tcPr>
            <w:tcW w:w="1190" w:type="dxa"/>
            <w:tcBorders>
              <w:top w:val="nil"/>
              <w:left w:val="nil"/>
              <w:bottom w:val="single" w:sz="4" w:space="0" w:color="auto"/>
              <w:right w:val="single" w:sz="4" w:space="0" w:color="auto"/>
            </w:tcBorders>
            <w:shd w:val="clear" w:color="auto" w:fill="auto"/>
            <w:vAlign w:val="bottom"/>
          </w:tcPr>
          <w:p w14:paraId="501AA2EB" w14:textId="06E089FB" w:rsidR="008C5876" w:rsidRPr="00F21C76" w:rsidRDefault="008C5876" w:rsidP="008C5876">
            <w:pPr>
              <w:spacing w:line="240" w:lineRule="auto"/>
              <w:contextualSpacing w:val="0"/>
              <w:jc w:val="center"/>
              <w:rPr>
                <w:rFonts w:ascii="Calibri" w:eastAsia="Calibri" w:hAnsi="Calibri" w:cs="Calibri"/>
                <w:color w:val="000000"/>
              </w:rPr>
            </w:pPr>
            <w:r>
              <w:rPr>
                <w:rFonts w:ascii="Calibri" w:hAnsi="Calibri" w:cs="Calibri"/>
                <w:color w:val="000000"/>
              </w:rPr>
              <w:t>26.85%</w:t>
            </w:r>
          </w:p>
        </w:tc>
      </w:tr>
      <w:tr w:rsidR="008C5876" w:rsidRPr="006903D2" w14:paraId="3A002C6A" w14:textId="77777777" w:rsidTr="00457B35">
        <w:trPr>
          <w:trHeight w:val="300"/>
        </w:trPr>
        <w:tc>
          <w:tcPr>
            <w:tcW w:w="3083" w:type="dxa"/>
            <w:tcBorders>
              <w:top w:val="nil"/>
              <w:left w:val="single" w:sz="4" w:space="0" w:color="000000"/>
              <w:bottom w:val="single" w:sz="4" w:space="0" w:color="000000"/>
              <w:right w:val="single" w:sz="4" w:space="0" w:color="000000"/>
            </w:tcBorders>
            <w:shd w:val="clear" w:color="auto" w:fill="auto"/>
            <w:vAlign w:val="bottom"/>
          </w:tcPr>
          <w:p w14:paraId="0B2121F5" w14:textId="04E13169" w:rsidR="008C5876" w:rsidRPr="005E1010" w:rsidRDefault="008C5876" w:rsidP="008C5876">
            <w:pPr>
              <w:spacing w:line="240" w:lineRule="auto"/>
              <w:contextualSpacing w:val="0"/>
              <w:rPr>
                <w:rFonts w:ascii="Calibri" w:eastAsia="Calibri" w:hAnsi="Calibri" w:cs="Calibri"/>
                <w:color w:val="000000"/>
              </w:rPr>
            </w:pPr>
            <w:r w:rsidRPr="005E1010">
              <w:rPr>
                <w:rFonts w:ascii="Calibri" w:eastAsia="Calibri" w:hAnsi="Calibri" w:cs="Calibri"/>
                <w:color w:val="000000"/>
              </w:rPr>
              <w:t>Low</w:t>
            </w:r>
            <w:r>
              <w:rPr>
                <w:rFonts w:ascii="Calibri" w:eastAsia="Calibri" w:hAnsi="Calibri" w:cs="Calibri"/>
                <w:color w:val="000000"/>
              </w:rPr>
              <w:t xml:space="preserve"> (50 to 80% </w:t>
            </w:r>
          </w:p>
        </w:tc>
        <w:tc>
          <w:tcPr>
            <w:tcW w:w="1890" w:type="dxa"/>
            <w:tcBorders>
              <w:top w:val="nil"/>
              <w:left w:val="single" w:sz="4" w:space="0" w:color="auto"/>
              <w:bottom w:val="single" w:sz="4" w:space="0" w:color="auto"/>
              <w:right w:val="single" w:sz="4" w:space="0" w:color="auto"/>
            </w:tcBorders>
            <w:shd w:val="clear" w:color="auto" w:fill="auto"/>
            <w:vAlign w:val="bottom"/>
          </w:tcPr>
          <w:p w14:paraId="11205CEB" w14:textId="6F1A0566" w:rsidR="008C5876" w:rsidRPr="005E1010" w:rsidRDefault="008C5876" w:rsidP="008C5876">
            <w:pPr>
              <w:spacing w:line="240" w:lineRule="auto"/>
              <w:contextualSpacing w:val="0"/>
              <w:jc w:val="center"/>
              <w:rPr>
                <w:rFonts w:ascii="Calibri" w:eastAsia="Calibri" w:hAnsi="Calibri" w:cs="Calibri"/>
                <w:color w:val="000000"/>
              </w:rPr>
            </w:pPr>
            <w:r>
              <w:rPr>
                <w:rFonts w:ascii="Calibri" w:hAnsi="Calibri" w:cs="Calibri"/>
                <w:color w:val="000000"/>
              </w:rPr>
              <w:t>84</w:t>
            </w:r>
          </w:p>
        </w:tc>
        <w:tc>
          <w:tcPr>
            <w:tcW w:w="1260" w:type="dxa"/>
            <w:tcBorders>
              <w:top w:val="nil"/>
              <w:left w:val="nil"/>
              <w:bottom w:val="single" w:sz="4" w:space="0" w:color="auto"/>
              <w:right w:val="single" w:sz="4" w:space="0" w:color="auto"/>
            </w:tcBorders>
            <w:shd w:val="clear" w:color="auto" w:fill="auto"/>
            <w:vAlign w:val="bottom"/>
          </w:tcPr>
          <w:p w14:paraId="21995D98" w14:textId="544E0221" w:rsidR="008C5876" w:rsidRPr="005E1010" w:rsidRDefault="008C5876" w:rsidP="008C5876">
            <w:pPr>
              <w:spacing w:line="240" w:lineRule="auto"/>
              <w:contextualSpacing w:val="0"/>
              <w:jc w:val="center"/>
              <w:rPr>
                <w:rFonts w:ascii="Calibri" w:eastAsia="Calibri" w:hAnsi="Calibri" w:cs="Calibri"/>
                <w:color w:val="000000"/>
              </w:rPr>
            </w:pPr>
            <w:r>
              <w:rPr>
                <w:rFonts w:ascii="Calibri" w:hAnsi="Calibri" w:cs="Calibri"/>
                <w:color w:val="000000"/>
              </w:rPr>
              <w:t>18.83%</w:t>
            </w:r>
          </w:p>
        </w:tc>
        <w:tc>
          <w:tcPr>
            <w:tcW w:w="1190" w:type="dxa"/>
            <w:tcBorders>
              <w:top w:val="nil"/>
              <w:left w:val="nil"/>
              <w:bottom w:val="single" w:sz="4" w:space="0" w:color="auto"/>
              <w:right w:val="single" w:sz="4" w:space="0" w:color="auto"/>
            </w:tcBorders>
            <w:shd w:val="clear" w:color="auto" w:fill="auto"/>
            <w:vAlign w:val="bottom"/>
          </w:tcPr>
          <w:p w14:paraId="13A848DE" w14:textId="4FB4915E" w:rsidR="008C5876" w:rsidRPr="00F21C76" w:rsidRDefault="008C5876" w:rsidP="008C5876">
            <w:pPr>
              <w:spacing w:line="240" w:lineRule="auto"/>
              <w:contextualSpacing w:val="0"/>
              <w:jc w:val="center"/>
              <w:rPr>
                <w:rFonts w:ascii="Calibri" w:eastAsia="Calibri" w:hAnsi="Calibri" w:cs="Calibri"/>
                <w:color w:val="000000"/>
              </w:rPr>
            </w:pPr>
            <w:r>
              <w:rPr>
                <w:rFonts w:ascii="Calibri" w:hAnsi="Calibri" w:cs="Calibri"/>
                <w:color w:val="000000"/>
              </w:rPr>
              <w:t>25.93%</w:t>
            </w:r>
          </w:p>
        </w:tc>
      </w:tr>
      <w:tr w:rsidR="008C5876" w:rsidRPr="006903D2" w14:paraId="7E540F48" w14:textId="77777777" w:rsidTr="00457B35">
        <w:trPr>
          <w:trHeight w:val="300"/>
        </w:trPr>
        <w:tc>
          <w:tcPr>
            <w:tcW w:w="3083" w:type="dxa"/>
            <w:tcBorders>
              <w:top w:val="nil"/>
              <w:left w:val="single" w:sz="4" w:space="0" w:color="000000"/>
              <w:bottom w:val="single" w:sz="4" w:space="0" w:color="000000"/>
              <w:right w:val="single" w:sz="4" w:space="0" w:color="000000"/>
            </w:tcBorders>
            <w:shd w:val="clear" w:color="auto" w:fill="auto"/>
            <w:vAlign w:val="bottom"/>
          </w:tcPr>
          <w:p w14:paraId="33B4A817" w14:textId="72A993E8" w:rsidR="008C5876" w:rsidRPr="005E1010" w:rsidRDefault="008C5876" w:rsidP="008C5876">
            <w:pPr>
              <w:spacing w:line="240" w:lineRule="auto"/>
              <w:contextualSpacing w:val="0"/>
              <w:rPr>
                <w:rFonts w:ascii="Calibri" w:eastAsia="Calibri" w:hAnsi="Calibri" w:cs="Calibri"/>
                <w:color w:val="000000"/>
              </w:rPr>
            </w:pPr>
            <w:r w:rsidRPr="005E1010">
              <w:rPr>
                <w:rFonts w:ascii="Calibri" w:eastAsia="Calibri" w:hAnsi="Calibri" w:cs="Calibri"/>
                <w:color w:val="000000"/>
              </w:rPr>
              <w:t>Above 80%</w:t>
            </w:r>
            <w:r>
              <w:rPr>
                <w:rFonts w:ascii="Calibri" w:eastAsia="Calibri" w:hAnsi="Calibri" w:cs="Calibri"/>
                <w:color w:val="000000"/>
              </w:rPr>
              <w:t xml:space="preserve"> AMFI (Urgent Need)</w:t>
            </w:r>
          </w:p>
        </w:tc>
        <w:tc>
          <w:tcPr>
            <w:tcW w:w="1890" w:type="dxa"/>
            <w:tcBorders>
              <w:top w:val="nil"/>
              <w:left w:val="single" w:sz="4" w:space="0" w:color="auto"/>
              <w:bottom w:val="single" w:sz="4" w:space="0" w:color="auto"/>
              <w:right w:val="single" w:sz="4" w:space="0" w:color="auto"/>
            </w:tcBorders>
            <w:shd w:val="clear" w:color="auto" w:fill="auto"/>
            <w:vAlign w:val="bottom"/>
          </w:tcPr>
          <w:p w14:paraId="34A13C12" w14:textId="5D3993C5" w:rsidR="008C5876" w:rsidRPr="005E1010" w:rsidRDefault="008C5876" w:rsidP="008C5876">
            <w:pPr>
              <w:spacing w:line="240" w:lineRule="auto"/>
              <w:contextualSpacing w:val="0"/>
              <w:jc w:val="center"/>
              <w:rPr>
                <w:rFonts w:ascii="Calibri" w:eastAsia="Calibri" w:hAnsi="Calibri" w:cs="Calibri"/>
                <w:color w:val="000000"/>
              </w:rPr>
            </w:pPr>
            <w:r>
              <w:rPr>
                <w:rFonts w:ascii="Calibri" w:hAnsi="Calibri" w:cs="Calibri"/>
                <w:color w:val="000000"/>
              </w:rPr>
              <w:t>122</w:t>
            </w:r>
          </w:p>
        </w:tc>
        <w:tc>
          <w:tcPr>
            <w:tcW w:w="1260" w:type="dxa"/>
            <w:tcBorders>
              <w:top w:val="nil"/>
              <w:left w:val="nil"/>
              <w:bottom w:val="single" w:sz="4" w:space="0" w:color="auto"/>
              <w:right w:val="single" w:sz="4" w:space="0" w:color="auto"/>
            </w:tcBorders>
            <w:shd w:val="clear" w:color="auto" w:fill="auto"/>
            <w:vAlign w:val="bottom"/>
          </w:tcPr>
          <w:p w14:paraId="288A3D7B" w14:textId="04E6D77E" w:rsidR="008C5876" w:rsidRPr="005E1010" w:rsidRDefault="008C5876" w:rsidP="008C5876">
            <w:pPr>
              <w:spacing w:line="240" w:lineRule="auto"/>
              <w:contextualSpacing w:val="0"/>
              <w:jc w:val="center"/>
              <w:rPr>
                <w:rFonts w:ascii="Calibri" w:eastAsia="Calibri" w:hAnsi="Calibri" w:cs="Calibri"/>
                <w:color w:val="000000"/>
              </w:rPr>
            </w:pPr>
            <w:r>
              <w:rPr>
                <w:rFonts w:ascii="Calibri" w:hAnsi="Calibri" w:cs="Calibri"/>
                <w:color w:val="000000"/>
              </w:rPr>
              <w:t>27.35%</w:t>
            </w:r>
          </w:p>
        </w:tc>
        <w:tc>
          <w:tcPr>
            <w:tcW w:w="1190" w:type="dxa"/>
            <w:tcBorders>
              <w:top w:val="nil"/>
              <w:left w:val="nil"/>
              <w:bottom w:val="single" w:sz="4" w:space="0" w:color="auto"/>
              <w:right w:val="single" w:sz="4" w:space="0" w:color="auto"/>
            </w:tcBorders>
            <w:shd w:val="clear" w:color="auto" w:fill="auto"/>
            <w:vAlign w:val="bottom"/>
          </w:tcPr>
          <w:p w14:paraId="5A656156" w14:textId="26E5B7F8" w:rsidR="008C5876" w:rsidRPr="005E1010" w:rsidRDefault="008C5876" w:rsidP="008C5876">
            <w:pPr>
              <w:spacing w:line="240" w:lineRule="auto"/>
              <w:contextualSpacing w:val="0"/>
              <w:jc w:val="center"/>
              <w:rPr>
                <w:rFonts w:ascii="Calibri" w:eastAsia="Calibri" w:hAnsi="Calibri" w:cs="Calibri"/>
                <w:color w:val="000000"/>
              </w:rPr>
            </w:pPr>
            <w:r>
              <w:rPr>
                <w:rFonts w:ascii="Calibri" w:hAnsi="Calibri" w:cs="Calibri"/>
                <w:color w:val="000000"/>
              </w:rPr>
              <w:t> </w:t>
            </w:r>
          </w:p>
        </w:tc>
      </w:tr>
      <w:tr w:rsidR="008C5876" w:rsidRPr="006903D2" w14:paraId="46A976EF" w14:textId="77777777" w:rsidTr="008D50FA">
        <w:trPr>
          <w:trHeight w:val="300"/>
        </w:trPr>
        <w:tc>
          <w:tcPr>
            <w:tcW w:w="3083" w:type="dxa"/>
            <w:tcBorders>
              <w:top w:val="nil"/>
              <w:left w:val="single" w:sz="4" w:space="0" w:color="000000"/>
              <w:bottom w:val="single" w:sz="4" w:space="0" w:color="000000"/>
              <w:right w:val="single" w:sz="4" w:space="0" w:color="000000"/>
            </w:tcBorders>
            <w:shd w:val="clear" w:color="auto" w:fill="auto"/>
            <w:vAlign w:val="bottom"/>
          </w:tcPr>
          <w:p w14:paraId="79DB44B3" w14:textId="77777777" w:rsidR="008C5876" w:rsidRPr="005E1010" w:rsidRDefault="008C5876" w:rsidP="008C5876">
            <w:pPr>
              <w:spacing w:line="240" w:lineRule="auto"/>
              <w:contextualSpacing w:val="0"/>
              <w:rPr>
                <w:rFonts w:ascii="Calibri" w:eastAsia="Calibri" w:hAnsi="Calibri" w:cs="Calibri"/>
                <w:color w:val="000000"/>
              </w:rPr>
            </w:pPr>
            <w:r w:rsidRPr="005E1010">
              <w:rPr>
                <w:rFonts w:ascii="Calibri" w:eastAsia="Calibri" w:hAnsi="Calibri" w:cs="Calibri"/>
                <w:color w:val="000000"/>
              </w:rPr>
              <w:t>Total</w:t>
            </w:r>
          </w:p>
        </w:tc>
        <w:tc>
          <w:tcPr>
            <w:tcW w:w="1890" w:type="dxa"/>
            <w:tcBorders>
              <w:top w:val="nil"/>
              <w:left w:val="nil"/>
              <w:bottom w:val="single" w:sz="4" w:space="0" w:color="000000"/>
              <w:right w:val="single" w:sz="4" w:space="0" w:color="000000"/>
            </w:tcBorders>
            <w:shd w:val="clear" w:color="auto" w:fill="auto"/>
            <w:vAlign w:val="bottom"/>
          </w:tcPr>
          <w:p w14:paraId="6BE7777E" w14:textId="1E7999F5" w:rsidR="008C5876" w:rsidRPr="005E1010" w:rsidRDefault="008C5876" w:rsidP="008C5876">
            <w:pPr>
              <w:spacing w:line="240" w:lineRule="auto"/>
              <w:contextualSpacing w:val="0"/>
              <w:jc w:val="center"/>
              <w:rPr>
                <w:rFonts w:ascii="Calibri" w:eastAsia="Calibri" w:hAnsi="Calibri" w:cs="Calibri"/>
                <w:color w:val="000000"/>
              </w:rPr>
            </w:pPr>
            <w:r>
              <w:rPr>
                <w:rFonts w:ascii="Calibri" w:eastAsia="Calibri" w:hAnsi="Calibri" w:cs="Calibri"/>
                <w:color w:val="000000"/>
              </w:rPr>
              <w:t>446</w:t>
            </w:r>
          </w:p>
        </w:tc>
        <w:tc>
          <w:tcPr>
            <w:tcW w:w="1260" w:type="dxa"/>
            <w:tcBorders>
              <w:top w:val="nil"/>
              <w:left w:val="nil"/>
              <w:bottom w:val="single" w:sz="4" w:space="0" w:color="000000"/>
              <w:right w:val="single" w:sz="4" w:space="0" w:color="000000"/>
            </w:tcBorders>
            <w:shd w:val="clear" w:color="auto" w:fill="auto"/>
            <w:vAlign w:val="bottom"/>
          </w:tcPr>
          <w:p w14:paraId="29E00F57" w14:textId="77777777" w:rsidR="008C5876" w:rsidRPr="005E1010" w:rsidRDefault="008C5876" w:rsidP="008C5876">
            <w:pPr>
              <w:spacing w:line="240" w:lineRule="auto"/>
              <w:contextualSpacing w:val="0"/>
              <w:jc w:val="center"/>
              <w:rPr>
                <w:rFonts w:ascii="Calibri" w:eastAsia="Calibri" w:hAnsi="Calibri" w:cs="Calibri"/>
                <w:color w:val="000000"/>
              </w:rPr>
            </w:pPr>
          </w:p>
        </w:tc>
        <w:tc>
          <w:tcPr>
            <w:tcW w:w="1190" w:type="dxa"/>
            <w:tcBorders>
              <w:top w:val="nil"/>
              <w:left w:val="nil"/>
              <w:bottom w:val="single" w:sz="4" w:space="0" w:color="000000"/>
              <w:right w:val="single" w:sz="4" w:space="0" w:color="000000"/>
            </w:tcBorders>
            <w:shd w:val="clear" w:color="auto" w:fill="auto"/>
            <w:vAlign w:val="bottom"/>
          </w:tcPr>
          <w:p w14:paraId="13B94C1B" w14:textId="77777777" w:rsidR="008C5876" w:rsidRPr="006903D2" w:rsidRDefault="008C5876" w:rsidP="008C5876">
            <w:pPr>
              <w:spacing w:line="240" w:lineRule="auto"/>
              <w:contextualSpacing w:val="0"/>
              <w:jc w:val="center"/>
              <w:rPr>
                <w:rFonts w:ascii="Calibri" w:eastAsia="Calibri" w:hAnsi="Calibri" w:cs="Calibri"/>
                <w:color w:val="000000"/>
                <w:highlight w:val="yellow"/>
              </w:rPr>
            </w:pPr>
          </w:p>
        </w:tc>
      </w:tr>
      <w:tr w:rsidR="008C5876" w:rsidRPr="006903D2" w14:paraId="73C057FE" w14:textId="77777777" w:rsidTr="008D50FA">
        <w:trPr>
          <w:trHeight w:val="300"/>
        </w:trPr>
        <w:tc>
          <w:tcPr>
            <w:tcW w:w="3083" w:type="dxa"/>
            <w:tcBorders>
              <w:top w:val="nil"/>
              <w:left w:val="single" w:sz="4" w:space="0" w:color="000000"/>
              <w:bottom w:val="single" w:sz="4" w:space="0" w:color="000000"/>
              <w:right w:val="single" w:sz="4" w:space="0" w:color="000000"/>
            </w:tcBorders>
            <w:shd w:val="clear" w:color="auto" w:fill="auto"/>
            <w:vAlign w:val="bottom"/>
          </w:tcPr>
          <w:p w14:paraId="6E448178" w14:textId="0F7ABCCC" w:rsidR="008C5876" w:rsidRPr="005E1010" w:rsidRDefault="008C5876" w:rsidP="008C5876">
            <w:pPr>
              <w:spacing w:line="240" w:lineRule="auto"/>
              <w:contextualSpacing w:val="0"/>
              <w:rPr>
                <w:rFonts w:ascii="Calibri" w:eastAsia="Calibri" w:hAnsi="Calibri" w:cs="Calibri"/>
                <w:color w:val="000000"/>
              </w:rPr>
            </w:pPr>
            <w:r w:rsidRPr="005E1010">
              <w:rPr>
                <w:rFonts w:ascii="Calibri" w:eastAsia="Calibri" w:hAnsi="Calibri" w:cs="Calibri"/>
                <w:color w:val="000000"/>
              </w:rPr>
              <w:t>Total Less Urgent Need</w:t>
            </w:r>
          </w:p>
        </w:tc>
        <w:tc>
          <w:tcPr>
            <w:tcW w:w="1890" w:type="dxa"/>
            <w:tcBorders>
              <w:top w:val="nil"/>
              <w:left w:val="nil"/>
              <w:bottom w:val="single" w:sz="4" w:space="0" w:color="000000"/>
              <w:right w:val="single" w:sz="4" w:space="0" w:color="000000"/>
            </w:tcBorders>
            <w:shd w:val="clear" w:color="auto" w:fill="auto"/>
            <w:vAlign w:val="bottom"/>
          </w:tcPr>
          <w:p w14:paraId="5527BFD8" w14:textId="04D511DB" w:rsidR="008C5876" w:rsidRPr="005E1010" w:rsidRDefault="008C5876" w:rsidP="008C5876">
            <w:pPr>
              <w:spacing w:line="240" w:lineRule="auto"/>
              <w:contextualSpacing w:val="0"/>
              <w:jc w:val="center"/>
              <w:rPr>
                <w:rFonts w:ascii="Calibri" w:eastAsia="Calibri" w:hAnsi="Calibri" w:cs="Calibri"/>
                <w:color w:val="000000"/>
              </w:rPr>
            </w:pPr>
            <w:r>
              <w:rPr>
                <w:rFonts w:ascii="Calibri" w:eastAsia="Calibri" w:hAnsi="Calibri" w:cs="Calibri"/>
                <w:color w:val="000000"/>
              </w:rPr>
              <w:t>324</w:t>
            </w:r>
          </w:p>
        </w:tc>
        <w:tc>
          <w:tcPr>
            <w:tcW w:w="1260" w:type="dxa"/>
            <w:tcBorders>
              <w:top w:val="nil"/>
              <w:left w:val="nil"/>
              <w:bottom w:val="single" w:sz="4" w:space="0" w:color="000000"/>
              <w:right w:val="single" w:sz="4" w:space="0" w:color="000000"/>
            </w:tcBorders>
            <w:shd w:val="clear" w:color="auto" w:fill="auto"/>
            <w:vAlign w:val="bottom"/>
          </w:tcPr>
          <w:p w14:paraId="70F7A6FE" w14:textId="77777777" w:rsidR="008C5876" w:rsidRPr="005E1010" w:rsidRDefault="008C5876" w:rsidP="008C5876">
            <w:pPr>
              <w:spacing w:line="240" w:lineRule="auto"/>
              <w:contextualSpacing w:val="0"/>
              <w:jc w:val="center"/>
              <w:rPr>
                <w:rFonts w:ascii="Calibri" w:eastAsia="Calibri" w:hAnsi="Calibri" w:cs="Calibri"/>
                <w:color w:val="000000"/>
              </w:rPr>
            </w:pPr>
          </w:p>
        </w:tc>
        <w:tc>
          <w:tcPr>
            <w:tcW w:w="1190" w:type="dxa"/>
            <w:tcBorders>
              <w:top w:val="nil"/>
              <w:left w:val="nil"/>
              <w:bottom w:val="single" w:sz="4" w:space="0" w:color="000000"/>
              <w:right w:val="single" w:sz="4" w:space="0" w:color="000000"/>
            </w:tcBorders>
            <w:shd w:val="clear" w:color="auto" w:fill="auto"/>
            <w:vAlign w:val="bottom"/>
          </w:tcPr>
          <w:p w14:paraId="67CE6332" w14:textId="77777777" w:rsidR="008C5876" w:rsidRPr="006903D2" w:rsidRDefault="008C5876" w:rsidP="008C5876">
            <w:pPr>
              <w:spacing w:line="240" w:lineRule="auto"/>
              <w:contextualSpacing w:val="0"/>
              <w:jc w:val="center"/>
              <w:rPr>
                <w:rFonts w:ascii="Calibri" w:eastAsia="Calibri" w:hAnsi="Calibri" w:cs="Calibri"/>
                <w:color w:val="000000"/>
                <w:highlight w:val="yellow"/>
              </w:rPr>
            </w:pPr>
          </w:p>
        </w:tc>
      </w:tr>
    </w:tbl>
    <w:p w14:paraId="34FC9B84" w14:textId="77777777" w:rsidR="001B3269" w:rsidRDefault="001B3269">
      <w:pPr>
        <w:contextualSpacing w:val="0"/>
      </w:pPr>
    </w:p>
    <w:p w14:paraId="59E6F4B0" w14:textId="77777777" w:rsidR="001B3269" w:rsidRDefault="00CF6B9F">
      <w:pPr>
        <w:contextualSpacing w:val="0"/>
        <w:jc w:val="both"/>
      </w:pPr>
      <w:r>
        <w:t xml:space="preserve">The </w:t>
      </w:r>
      <w:r>
        <w:rPr>
          <w:b/>
        </w:rPr>
        <w:t>housing allocation floor and ceiling amounts</w:t>
      </w:r>
      <w:r>
        <w:t xml:space="preserve"> for each income category were then calculated based on the total housing distribution amount, as amended:</w:t>
      </w:r>
    </w:p>
    <w:p w14:paraId="2A9FD21C" w14:textId="77777777" w:rsidR="006903D2" w:rsidRDefault="006903D2">
      <w:pPr>
        <w:contextualSpacing w:val="0"/>
        <w:jc w:val="both"/>
      </w:pPr>
    </w:p>
    <w:p w14:paraId="504C509E" w14:textId="77777777" w:rsidR="001B3269" w:rsidRDefault="001B3269">
      <w:pPr>
        <w:contextualSpacing w:val="0"/>
      </w:pPr>
    </w:p>
    <w:tbl>
      <w:tblPr>
        <w:tblStyle w:val="a2"/>
        <w:tblW w:w="6388" w:type="dxa"/>
        <w:tblInd w:w="1818" w:type="dxa"/>
        <w:tblLayout w:type="fixed"/>
        <w:tblLook w:val="0400" w:firstRow="0" w:lastRow="0" w:firstColumn="0" w:lastColumn="0" w:noHBand="0" w:noVBand="1"/>
      </w:tblPr>
      <w:tblGrid>
        <w:gridCol w:w="2190"/>
        <w:gridCol w:w="2017"/>
        <w:gridCol w:w="2181"/>
      </w:tblGrid>
      <w:tr w:rsidR="001B3269" w:rsidRPr="005E1010" w14:paraId="74B38419" w14:textId="77777777" w:rsidTr="00462C85">
        <w:trPr>
          <w:trHeight w:val="308"/>
        </w:trPr>
        <w:tc>
          <w:tcPr>
            <w:tcW w:w="638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1ABD8C13" w14:textId="1E96160A" w:rsidR="001B3269" w:rsidRPr="005E1010" w:rsidRDefault="008B553D">
            <w:pPr>
              <w:spacing w:line="240" w:lineRule="auto"/>
              <w:contextualSpacing w:val="0"/>
              <w:jc w:val="center"/>
              <w:rPr>
                <w:rFonts w:ascii="Calibri" w:eastAsia="Calibri" w:hAnsi="Calibri" w:cs="Calibri"/>
                <w:b/>
                <w:color w:val="000000"/>
              </w:rPr>
            </w:pPr>
            <w:r>
              <w:rPr>
                <w:rFonts w:ascii="Calibri" w:eastAsia="Calibri" w:hAnsi="Calibri" w:cs="Calibri"/>
                <w:b/>
                <w:color w:val="000000"/>
              </w:rPr>
              <w:t xml:space="preserve">City of </w:t>
            </w:r>
            <w:r w:rsidR="008C5876">
              <w:rPr>
                <w:rFonts w:ascii="Calibri" w:eastAsia="Calibri" w:hAnsi="Calibri" w:cs="Calibri"/>
                <w:b/>
                <w:color w:val="000000"/>
              </w:rPr>
              <w:t xml:space="preserve">Brookshire </w:t>
            </w:r>
            <w:r w:rsidR="00CF6B9F" w:rsidRPr="005E1010">
              <w:rPr>
                <w:rFonts w:ascii="Calibri" w:eastAsia="Calibri" w:hAnsi="Calibri" w:cs="Calibri"/>
                <w:b/>
                <w:color w:val="000000"/>
              </w:rPr>
              <w:t>Contracted Values</w:t>
            </w:r>
          </w:p>
        </w:tc>
      </w:tr>
      <w:tr w:rsidR="00864150" w:rsidRPr="005E1010" w14:paraId="1EACE0B3" w14:textId="77777777" w:rsidTr="00462C85">
        <w:trPr>
          <w:trHeight w:val="308"/>
        </w:trPr>
        <w:tc>
          <w:tcPr>
            <w:tcW w:w="2190" w:type="dxa"/>
            <w:tcBorders>
              <w:top w:val="nil"/>
              <w:left w:val="single" w:sz="4" w:space="0" w:color="000000"/>
              <w:bottom w:val="single" w:sz="4" w:space="0" w:color="000000"/>
              <w:right w:val="single" w:sz="4" w:space="0" w:color="000000"/>
            </w:tcBorders>
            <w:shd w:val="clear" w:color="auto" w:fill="auto"/>
            <w:vAlign w:val="bottom"/>
          </w:tcPr>
          <w:p w14:paraId="7575AE52" w14:textId="6934EC92" w:rsidR="00864150" w:rsidRPr="005E1010" w:rsidRDefault="00864150">
            <w:pPr>
              <w:spacing w:line="240" w:lineRule="auto"/>
              <w:contextualSpacing w:val="0"/>
              <w:rPr>
                <w:rFonts w:ascii="Calibri" w:eastAsia="Calibri" w:hAnsi="Calibri" w:cs="Calibri"/>
                <w:color w:val="000000"/>
              </w:rPr>
            </w:pPr>
            <w:r>
              <w:rPr>
                <w:rFonts w:ascii="Calibri" w:eastAsia="Calibri" w:hAnsi="Calibri" w:cs="Calibri"/>
                <w:color w:val="000000"/>
              </w:rPr>
              <w:t>Funding Allocation</w:t>
            </w:r>
          </w:p>
        </w:tc>
        <w:tc>
          <w:tcPr>
            <w:tcW w:w="4197" w:type="dxa"/>
            <w:gridSpan w:val="2"/>
            <w:tcBorders>
              <w:top w:val="nil"/>
              <w:left w:val="nil"/>
              <w:bottom w:val="single" w:sz="4" w:space="0" w:color="000000"/>
              <w:right w:val="single" w:sz="4" w:space="0" w:color="000000"/>
            </w:tcBorders>
            <w:shd w:val="clear" w:color="auto" w:fill="auto"/>
            <w:vAlign w:val="bottom"/>
          </w:tcPr>
          <w:p w14:paraId="3EAD6FF5" w14:textId="11915C99" w:rsidR="00864150" w:rsidRDefault="00864150">
            <w:pPr>
              <w:contextualSpacing w:val="0"/>
              <w:rPr>
                <w:rFonts w:ascii="Calibri" w:eastAsia="Calibri" w:hAnsi="Calibri" w:cs="Calibri"/>
                <w:color w:val="000000"/>
              </w:rPr>
            </w:pPr>
            <w:r>
              <w:rPr>
                <w:rFonts w:ascii="Calibri" w:eastAsia="Calibri" w:hAnsi="Calibri" w:cs="Calibri"/>
                <w:color w:val="000000"/>
              </w:rPr>
              <w:t>$1,7</w:t>
            </w:r>
            <w:r w:rsidR="00E03107">
              <w:rPr>
                <w:rFonts w:ascii="Calibri" w:eastAsia="Calibri" w:hAnsi="Calibri" w:cs="Calibri"/>
                <w:color w:val="000000"/>
              </w:rPr>
              <w:t>8</w:t>
            </w:r>
            <w:r>
              <w:rPr>
                <w:rFonts w:ascii="Calibri" w:eastAsia="Calibri" w:hAnsi="Calibri" w:cs="Calibri"/>
                <w:color w:val="000000"/>
              </w:rPr>
              <w:t>0,000</w:t>
            </w:r>
          </w:p>
        </w:tc>
      </w:tr>
      <w:tr w:rsidR="00BB7AB7" w:rsidRPr="005E1010" w14:paraId="7EE2D36A" w14:textId="77777777" w:rsidTr="00462C85">
        <w:trPr>
          <w:trHeight w:val="308"/>
        </w:trPr>
        <w:tc>
          <w:tcPr>
            <w:tcW w:w="2190" w:type="dxa"/>
            <w:tcBorders>
              <w:top w:val="nil"/>
              <w:left w:val="single" w:sz="4" w:space="0" w:color="000000"/>
              <w:bottom w:val="single" w:sz="4" w:space="0" w:color="000000"/>
              <w:right w:val="single" w:sz="4" w:space="0" w:color="000000"/>
            </w:tcBorders>
            <w:shd w:val="clear" w:color="auto" w:fill="auto"/>
            <w:vAlign w:val="bottom"/>
          </w:tcPr>
          <w:p w14:paraId="25DFB310" w14:textId="021C567E" w:rsidR="00BB7AB7" w:rsidRPr="005E1010" w:rsidRDefault="00BB7AB7">
            <w:pPr>
              <w:spacing w:line="240" w:lineRule="auto"/>
              <w:contextualSpacing w:val="0"/>
              <w:rPr>
                <w:rFonts w:ascii="Calibri" w:eastAsia="Calibri" w:hAnsi="Calibri" w:cs="Calibri"/>
                <w:color w:val="000000"/>
              </w:rPr>
            </w:pPr>
            <w:r w:rsidRPr="005E1010">
              <w:rPr>
                <w:rFonts w:ascii="Calibri" w:eastAsia="Calibri" w:hAnsi="Calibri" w:cs="Calibri"/>
                <w:color w:val="000000"/>
              </w:rPr>
              <w:t>Activity</w:t>
            </w:r>
            <w:r>
              <w:rPr>
                <w:rFonts w:ascii="Calibri" w:eastAsia="Calibri" w:hAnsi="Calibri" w:cs="Calibri"/>
                <w:color w:val="000000"/>
              </w:rPr>
              <w:t xml:space="preserve"> No. </w:t>
            </w:r>
          </w:p>
        </w:tc>
        <w:tc>
          <w:tcPr>
            <w:tcW w:w="4197" w:type="dxa"/>
            <w:gridSpan w:val="2"/>
            <w:tcBorders>
              <w:top w:val="nil"/>
              <w:left w:val="nil"/>
              <w:bottom w:val="single" w:sz="4" w:space="0" w:color="000000"/>
              <w:right w:val="single" w:sz="4" w:space="0" w:color="000000"/>
            </w:tcBorders>
            <w:shd w:val="clear" w:color="auto" w:fill="auto"/>
            <w:vAlign w:val="bottom"/>
          </w:tcPr>
          <w:p w14:paraId="1F78F885" w14:textId="7104E350" w:rsidR="00BB7AB7" w:rsidRPr="005E1010" w:rsidRDefault="00A12C1E">
            <w:pPr>
              <w:contextualSpacing w:val="0"/>
              <w:rPr>
                <w:rFonts w:ascii="Calibri" w:eastAsia="Calibri" w:hAnsi="Calibri" w:cs="Calibri"/>
                <w:color w:val="000000"/>
              </w:rPr>
            </w:pPr>
            <w:r>
              <w:rPr>
                <w:rFonts w:ascii="Calibri" w:eastAsia="Calibri" w:hAnsi="Calibri" w:cs="Calibri"/>
                <w:color w:val="000000"/>
              </w:rPr>
              <w:t>19-076-052_SC_HAP-LMH_Brookshire</w:t>
            </w:r>
          </w:p>
        </w:tc>
      </w:tr>
      <w:tr w:rsidR="001B3269" w:rsidRPr="005E1010" w14:paraId="71EE629F" w14:textId="77777777" w:rsidTr="00462C85">
        <w:trPr>
          <w:trHeight w:val="308"/>
        </w:trPr>
        <w:tc>
          <w:tcPr>
            <w:tcW w:w="2190" w:type="dxa"/>
            <w:tcBorders>
              <w:top w:val="nil"/>
              <w:left w:val="single" w:sz="4" w:space="0" w:color="000000"/>
              <w:bottom w:val="single" w:sz="4" w:space="0" w:color="000000"/>
              <w:right w:val="single" w:sz="4" w:space="0" w:color="000000"/>
            </w:tcBorders>
            <w:shd w:val="clear" w:color="auto" w:fill="auto"/>
            <w:vAlign w:val="bottom"/>
          </w:tcPr>
          <w:p w14:paraId="5ED58630" w14:textId="77777777" w:rsidR="001B3269" w:rsidRPr="005E1010" w:rsidRDefault="00CF6B9F">
            <w:pPr>
              <w:spacing w:line="240" w:lineRule="auto"/>
              <w:contextualSpacing w:val="0"/>
              <w:rPr>
                <w:rFonts w:ascii="Calibri" w:eastAsia="Calibri" w:hAnsi="Calibri" w:cs="Calibri"/>
                <w:color w:val="000000"/>
              </w:rPr>
            </w:pPr>
            <w:r w:rsidRPr="005E1010">
              <w:rPr>
                <w:rFonts w:ascii="Calibri" w:eastAsia="Calibri" w:hAnsi="Calibri" w:cs="Calibri"/>
                <w:color w:val="000000"/>
              </w:rPr>
              <w:t> </w:t>
            </w:r>
          </w:p>
        </w:tc>
        <w:tc>
          <w:tcPr>
            <w:tcW w:w="2017" w:type="dxa"/>
            <w:tcBorders>
              <w:top w:val="nil"/>
              <w:left w:val="nil"/>
              <w:bottom w:val="single" w:sz="4" w:space="0" w:color="000000"/>
              <w:right w:val="single" w:sz="4" w:space="0" w:color="000000"/>
            </w:tcBorders>
            <w:shd w:val="clear" w:color="auto" w:fill="auto"/>
            <w:vAlign w:val="bottom"/>
          </w:tcPr>
          <w:p w14:paraId="4089C2DE" w14:textId="3D2BD583" w:rsidR="001B3269" w:rsidRPr="005E1010" w:rsidRDefault="00334372" w:rsidP="00334372">
            <w:pPr>
              <w:contextualSpacing w:val="0"/>
              <w:rPr>
                <w:rFonts w:ascii="Calibri" w:eastAsia="Calibri" w:hAnsi="Calibri" w:cs="Calibri"/>
                <w:color w:val="000000"/>
              </w:rPr>
            </w:pPr>
            <w:r>
              <w:rPr>
                <w:rFonts w:ascii="Calibri" w:eastAsia="Calibri" w:hAnsi="Calibri" w:cs="Calibri"/>
                <w:color w:val="000000"/>
              </w:rPr>
              <w:t>Floor</w:t>
            </w:r>
          </w:p>
        </w:tc>
        <w:tc>
          <w:tcPr>
            <w:tcW w:w="2179" w:type="dxa"/>
            <w:tcBorders>
              <w:top w:val="nil"/>
              <w:left w:val="nil"/>
              <w:bottom w:val="single" w:sz="4" w:space="0" w:color="000000"/>
              <w:right w:val="single" w:sz="4" w:space="0" w:color="000000"/>
            </w:tcBorders>
            <w:shd w:val="clear" w:color="auto" w:fill="auto"/>
            <w:vAlign w:val="bottom"/>
          </w:tcPr>
          <w:p w14:paraId="000599EA" w14:textId="55AAD95B" w:rsidR="001B3269" w:rsidRPr="005E1010" w:rsidRDefault="00334372">
            <w:pPr>
              <w:contextualSpacing w:val="0"/>
              <w:jc w:val="center"/>
              <w:rPr>
                <w:rFonts w:ascii="Calibri" w:eastAsia="Calibri" w:hAnsi="Calibri" w:cs="Calibri"/>
                <w:color w:val="000000"/>
              </w:rPr>
            </w:pPr>
            <w:r>
              <w:rPr>
                <w:rFonts w:ascii="Calibri" w:eastAsia="Calibri" w:hAnsi="Calibri" w:cs="Calibri"/>
                <w:color w:val="000000"/>
              </w:rPr>
              <w:t>Ceiling</w:t>
            </w:r>
          </w:p>
        </w:tc>
      </w:tr>
      <w:tr w:rsidR="008C5876" w:rsidRPr="005E1010" w14:paraId="5F3BD39D" w14:textId="77777777" w:rsidTr="00462C85">
        <w:trPr>
          <w:trHeight w:val="308"/>
        </w:trPr>
        <w:tc>
          <w:tcPr>
            <w:tcW w:w="2190" w:type="dxa"/>
            <w:tcBorders>
              <w:top w:val="nil"/>
              <w:left w:val="single" w:sz="4" w:space="0" w:color="000000"/>
              <w:bottom w:val="single" w:sz="4" w:space="0" w:color="000000"/>
              <w:right w:val="single" w:sz="4" w:space="0" w:color="000000"/>
            </w:tcBorders>
            <w:shd w:val="clear" w:color="auto" w:fill="auto"/>
            <w:vAlign w:val="bottom"/>
          </w:tcPr>
          <w:p w14:paraId="614A6BF1" w14:textId="77777777" w:rsidR="008C5876" w:rsidRPr="005E1010" w:rsidRDefault="008C5876" w:rsidP="008C5876">
            <w:pPr>
              <w:spacing w:line="240" w:lineRule="auto"/>
              <w:contextualSpacing w:val="0"/>
              <w:rPr>
                <w:rFonts w:ascii="Calibri" w:eastAsia="Calibri" w:hAnsi="Calibri" w:cs="Calibri"/>
                <w:color w:val="000000"/>
              </w:rPr>
            </w:pPr>
            <w:r w:rsidRPr="005E1010">
              <w:rPr>
                <w:rFonts w:ascii="Calibri" w:eastAsia="Calibri" w:hAnsi="Calibri" w:cs="Calibri"/>
                <w:color w:val="000000"/>
              </w:rPr>
              <w:t>Extremely Low</w:t>
            </w:r>
          </w:p>
        </w:tc>
        <w:tc>
          <w:tcPr>
            <w:tcW w:w="2017" w:type="dxa"/>
            <w:tcBorders>
              <w:top w:val="nil"/>
              <w:left w:val="nil"/>
              <w:bottom w:val="single" w:sz="4" w:space="0" w:color="000000"/>
              <w:right w:val="single" w:sz="4" w:space="0" w:color="000000"/>
            </w:tcBorders>
            <w:shd w:val="clear" w:color="auto" w:fill="auto"/>
          </w:tcPr>
          <w:p w14:paraId="7F1BDFD4" w14:textId="00E1D39A" w:rsidR="008C5876" w:rsidRPr="008C5876" w:rsidRDefault="00171FF8" w:rsidP="008C5876">
            <w:pPr>
              <w:contextualSpacing w:val="0"/>
              <w:jc w:val="center"/>
              <w:rPr>
                <w:rFonts w:asciiTheme="majorHAnsi" w:eastAsia="Calibri" w:hAnsiTheme="majorHAnsi" w:cstheme="majorHAnsi"/>
                <w:color w:val="000000"/>
              </w:rPr>
            </w:pPr>
            <w:r>
              <w:rPr>
                <w:rFonts w:asciiTheme="majorHAnsi" w:hAnsiTheme="majorHAnsi" w:cstheme="majorHAnsi"/>
              </w:rPr>
              <w:t>$610,627.80</w:t>
            </w:r>
          </w:p>
        </w:tc>
        <w:tc>
          <w:tcPr>
            <w:tcW w:w="2179" w:type="dxa"/>
            <w:tcBorders>
              <w:top w:val="nil"/>
              <w:left w:val="nil"/>
              <w:bottom w:val="single" w:sz="4" w:space="0" w:color="000000"/>
              <w:right w:val="single" w:sz="4" w:space="0" w:color="000000"/>
            </w:tcBorders>
            <w:shd w:val="clear" w:color="auto" w:fill="auto"/>
          </w:tcPr>
          <w:p w14:paraId="6B66BBB4" w14:textId="2B13A935" w:rsidR="008C5876" w:rsidRPr="008C5876" w:rsidRDefault="008C5876" w:rsidP="00171FF8">
            <w:pPr>
              <w:contextualSpacing w:val="0"/>
              <w:jc w:val="center"/>
              <w:rPr>
                <w:rFonts w:asciiTheme="majorHAnsi" w:eastAsia="Calibri" w:hAnsiTheme="majorHAnsi" w:cstheme="majorHAnsi"/>
                <w:color w:val="000000"/>
              </w:rPr>
            </w:pPr>
            <w:r w:rsidRPr="008C5876">
              <w:rPr>
                <w:rFonts w:asciiTheme="majorHAnsi" w:hAnsiTheme="majorHAnsi" w:cstheme="majorHAnsi"/>
              </w:rPr>
              <w:t>$</w:t>
            </w:r>
            <w:r w:rsidR="00171FF8">
              <w:rPr>
                <w:rFonts w:asciiTheme="majorHAnsi" w:hAnsiTheme="majorHAnsi" w:cstheme="majorHAnsi"/>
              </w:rPr>
              <w:t>840,555.56</w:t>
            </w:r>
          </w:p>
        </w:tc>
      </w:tr>
      <w:tr w:rsidR="008C5876" w:rsidRPr="005E1010" w14:paraId="5D331BAD" w14:textId="77777777" w:rsidTr="00462C85">
        <w:trPr>
          <w:trHeight w:val="308"/>
        </w:trPr>
        <w:tc>
          <w:tcPr>
            <w:tcW w:w="2190" w:type="dxa"/>
            <w:tcBorders>
              <w:top w:val="nil"/>
              <w:left w:val="single" w:sz="4" w:space="0" w:color="000000"/>
              <w:bottom w:val="single" w:sz="4" w:space="0" w:color="000000"/>
              <w:right w:val="single" w:sz="4" w:space="0" w:color="000000"/>
            </w:tcBorders>
            <w:shd w:val="clear" w:color="auto" w:fill="auto"/>
            <w:vAlign w:val="bottom"/>
          </w:tcPr>
          <w:p w14:paraId="1532052E" w14:textId="77777777" w:rsidR="008C5876" w:rsidRPr="005E1010" w:rsidRDefault="008C5876" w:rsidP="008C5876">
            <w:pPr>
              <w:spacing w:line="240" w:lineRule="auto"/>
              <w:contextualSpacing w:val="0"/>
              <w:rPr>
                <w:rFonts w:ascii="Calibri" w:eastAsia="Calibri" w:hAnsi="Calibri" w:cs="Calibri"/>
                <w:color w:val="000000"/>
              </w:rPr>
            </w:pPr>
            <w:r w:rsidRPr="005E1010">
              <w:rPr>
                <w:rFonts w:ascii="Calibri" w:eastAsia="Calibri" w:hAnsi="Calibri" w:cs="Calibri"/>
                <w:color w:val="000000"/>
              </w:rPr>
              <w:t>Very Low</w:t>
            </w:r>
          </w:p>
        </w:tc>
        <w:tc>
          <w:tcPr>
            <w:tcW w:w="2017" w:type="dxa"/>
            <w:tcBorders>
              <w:top w:val="nil"/>
              <w:left w:val="nil"/>
              <w:bottom w:val="single" w:sz="4" w:space="0" w:color="000000"/>
              <w:right w:val="single" w:sz="4" w:space="0" w:color="000000"/>
            </w:tcBorders>
            <w:shd w:val="clear" w:color="auto" w:fill="auto"/>
          </w:tcPr>
          <w:p w14:paraId="3AFD72B4" w14:textId="06B4DF27" w:rsidR="008C5876" w:rsidRPr="008C5876" w:rsidRDefault="00171FF8" w:rsidP="008C5876">
            <w:pPr>
              <w:contextualSpacing w:val="0"/>
              <w:jc w:val="center"/>
              <w:rPr>
                <w:rFonts w:asciiTheme="majorHAnsi" w:eastAsia="Calibri" w:hAnsiTheme="majorHAnsi" w:cstheme="majorHAnsi"/>
                <w:color w:val="000000"/>
              </w:rPr>
            </w:pPr>
            <w:r>
              <w:rPr>
                <w:rFonts w:asciiTheme="majorHAnsi" w:hAnsiTheme="majorHAnsi" w:cstheme="majorHAnsi"/>
              </w:rPr>
              <w:t>$347,219.73</w:t>
            </w:r>
          </w:p>
        </w:tc>
        <w:tc>
          <w:tcPr>
            <w:tcW w:w="2179" w:type="dxa"/>
            <w:tcBorders>
              <w:top w:val="nil"/>
              <w:left w:val="nil"/>
              <w:bottom w:val="single" w:sz="4" w:space="0" w:color="000000"/>
              <w:right w:val="single" w:sz="4" w:space="0" w:color="000000"/>
            </w:tcBorders>
            <w:shd w:val="clear" w:color="auto" w:fill="auto"/>
          </w:tcPr>
          <w:p w14:paraId="282637B0" w14:textId="694D9305" w:rsidR="008C5876" w:rsidRPr="008C5876" w:rsidRDefault="00171FF8" w:rsidP="008C5876">
            <w:pPr>
              <w:contextualSpacing w:val="0"/>
              <w:jc w:val="center"/>
              <w:rPr>
                <w:rFonts w:asciiTheme="majorHAnsi" w:eastAsia="Calibri" w:hAnsiTheme="majorHAnsi" w:cstheme="majorHAnsi"/>
                <w:color w:val="000000"/>
              </w:rPr>
            </w:pPr>
            <w:r>
              <w:rPr>
                <w:rFonts w:asciiTheme="majorHAnsi" w:hAnsiTheme="majorHAnsi" w:cstheme="majorHAnsi"/>
              </w:rPr>
              <w:t>$477,962.96</w:t>
            </w:r>
          </w:p>
        </w:tc>
      </w:tr>
      <w:tr w:rsidR="008C5876" w:rsidRPr="005E1010" w14:paraId="4944A18D" w14:textId="77777777" w:rsidTr="00462C85">
        <w:trPr>
          <w:trHeight w:val="308"/>
        </w:trPr>
        <w:tc>
          <w:tcPr>
            <w:tcW w:w="2190" w:type="dxa"/>
            <w:tcBorders>
              <w:top w:val="nil"/>
              <w:left w:val="single" w:sz="4" w:space="0" w:color="000000"/>
              <w:bottom w:val="single" w:sz="4" w:space="0" w:color="000000"/>
              <w:right w:val="single" w:sz="4" w:space="0" w:color="000000"/>
            </w:tcBorders>
            <w:shd w:val="clear" w:color="auto" w:fill="auto"/>
            <w:vAlign w:val="bottom"/>
          </w:tcPr>
          <w:p w14:paraId="0CB9934B" w14:textId="77777777" w:rsidR="008C5876" w:rsidRPr="005E1010" w:rsidRDefault="008C5876" w:rsidP="008C5876">
            <w:pPr>
              <w:spacing w:line="240" w:lineRule="auto"/>
              <w:contextualSpacing w:val="0"/>
              <w:rPr>
                <w:rFonts w:ascii="Calibri" w:eastAsia="Calibri" w:hAnsi="Calibri" w:cs="Calibri"/>
                <w:color w:val="000000"/>
              </w:rPr>
            </w:pPr>
            <w:r w:rsidRPr="005E1010">
              <w:rPr>
                <w:rFonts w:ascii="Calibri" w:eastAsia="Calibri" w:hAnsi="Calibri" w:cs="Calibri"/>
                <w:color w:val="000000"/>
              </w:rPr>
              <w:t>Low</w:t>
            </w:r>
          </w:p>
        </w:tc>
        <w:tc>
          <w:tcPr>
            <w:tcW w:w="2017" w:type="dxa"/>
            <w:tcBorders>
              <w:top w:val="nil"/>
              <w:left w:val="nil"/>
              <w:bottom w:val="single" w:sz="4" w:space="0" w:color="000000"/>
              <w:right w:val="single" w:sz="4" w:space="0" w:color="000000"/>
            </w:tcBorders>
            <w:shd w:val="clear" w:color="auto" w:fill="auto"/>
          </w:tcPr>
          <w:p w14:paraId="465456BF" w14:textId="5F7CFA05" w:rsidR="008C5876" w:rsidRPr="008C5876" w:rsidRDefault="00171FF8" w:rsidP="008C5876">
            <w:pPr>
              <w:contextualSpacing w:val="0"/>
              <w:jc w:val="center"/>
              <w:rPr>
                <w:rFonts w:asciiTheme="majorHAnsi" w:eastAsia="Calibri" w:hAnsiTheme="majorHAnsi" w:cstheme="majorHAnsi"/>
                <w:color w:val="000000"/>
              </w:rPr>
            </w:pPr>
            <w:r>
              <w:rPr>
                <w:rFonts w:asciiTheme="majorHAnsi" w:hAnsiTheme="majorHAnsi" w:cstheme="majorHAnsi"/>
              </w:rPr>
              <w:t>$335,246.64</w:t>
            </w:r>
          </w:p>
        </w:tc>
        <w:tc>
          <w:tcPr>
            <w:tcW w:w="2179" w:type="dxa"/>
            <w:tcBorders>
              <w:top w:val="nil"/>
              <w:left w:val="nil"/>
              <w:bottom w:val="single" w:sz="4" w:space="0" w:color="000000"/>
              <w:right w:val="single" w:sz="4" w:space="0" w:color="000000"/>
            </w:tcBorders>
            <w:shd w:val="clear" w:color="auto" w:fill="auto"/>
          </w:tcPr>
          <w:p w14:paraId="2C90C790" w14:textId="6C937FC6" w:rsidR="008C5876" w:rsidRPr="008C5876" w:rsidRDefault="00171FF8" w:rsidP="008C5876">
            <w:pPr>
              <w:contextualSpacing w:val="0"/>
              <w:jc w:val="center"/>
              <w:rPr>
                <w:rFonts w:asciiTheme="majorHAnsi" w:eastAsia="Calibri" w:hAnsiTheme="majorHAnsi" w:cstheme="majorHAnsi"/>
                <w:color w:val="000000"/>
              </w:rPr>
            </w:pPr>
            <w:r>
              <w:rPr>
                <w:rFonts w:asciiTheme="majorHAnsi" w:hAnsiTheme="majorHAnsi" w:cstheme="majorHAnsi"/>
              </w:rPr>
              <w:t>$461,481.48</w:t>
            </w:r>
          </w:p>
        </w:tc>
        <w:bookmarkStart w:id="6" w:name="_GoBack"/>
        <w:bookmarkEnd w:id="6"/>
      </w:tr>
    </w:tbl>
    <w:tbl>
      <w:tblPr>
        <w:tblW w:w="6388" w:type="dxa"/>
        <w:tblInd w:w="1818" w:type="dxa"/>
        <w:tblLayout w:type="fixed"/>
        <w:tblLook w:val="0400" w:firstRow="0" w:lastRow="0" w:firstColumn="0" w:lastColumn="0" w:noHBand="0" w:noVBand="1"/>
      </w:tblPr>
      <w:tblGrid>
        <w:gridCol w:w="2190"/>
        <w:gridCol w:w="2017"/>
        <w:gridCol w:w="2181"/>
      </w:tblGrid>
      <w:tr w:rsidR="00CE1357" w:rsidRPr="008C5876" w14:paraId="503FE21B" w14:textId="77777777" w:rsidTr="00CE1357">
        <w:trPr>
          <w:trHeight w:val="308"/>
        </w:trPr>
        <w:tc>
          <w:tcPr>
            <w:tcW w:w="2190" w:type="dxa"/>
            <w:tcBorders>
              <w:top w:val="nil"/>
              <w:left w:val="single" w:sz="4" w:space="0" w:color="000000"/>
              <w:bottom w:val="single" w:sz="4" w:space="0" w:color="000000"/>
              <w:right w:val="single" w:sz="4" w:space="0" w:color="000000"/>
            </w:tcBorders>
            <w:shd w:val="clear" w:color="auto" w:fill="auto"/>
            <w:vAlign w:val="bottom"/>
          </w:tcPr>
          <w:p w14:paraId="43732474" w14:textId="657ABA13" w:rsidR="00CE1357" w:rsidRPr="005E1010" w:rsidRDefault="00CE1357" w:rsidP="00137139">
            <w:pPr>
              <w:spacing w:line="240" w:lineRule="auto"/>
              <w:contextualSpacing w:val="0"/>
              <w:rPr>
                <w:rFonts w:ascii="Calibri" w:eastAsia="Calibri" w:hAnsi="Calibri" w:cs="Calibri"/>
                <w:color w:val="000000"/>
              </w:rPr>
            </w:pPr>
            <w:r>
              <w:rPr>
                <w:rFonts w:ascii="Calibri" w:eastAsia="Calibri" w:hAnsi="Calibri" w:cs="Calibri"/>
                <w:color w:val="000000"/>
              </w:rPr>
              <w:t>Above 80% AMFI</w:t>
            </w:r>
          </w:p>
        </w:tc>
        <w:tc>
          <w:tcPr>
            <w:tcW w:w="2017" w:type="dxa"/>
            <w:tcBorders>
              <w:top w:val="nil"/>
              <w:left w:val="nil"/>
              <w:bottom w:val="single" w:sz="4" w:space="0" w:color="000000"/>
              <w:right w:val="single" w:sz="4" w:space="0" w:color="000000"/>
            </w:tcBorders>
            <w:shd w:val="clear" w:color="auto" w:fill="auto"/>
          </w:tcPr>
          <w:p w14:paraId="334A56B9" w14:textId="4DC301F3" w:rsidR="00CE1357" w:rsidRPr="008C5876" w:rsidRDefault="00CE1357" w:rsidP="00137139">
            <w:pPr>
              <w:contextualSpacing w:val="0"/>
              <w:jc w:val="center"/>
              <w:rPr>
                <w:rFonts w:asciiTheme="majorHAnsi" w:eastAsia="Calibri" w:hAnsiTheme="majorHAnsi" w:cstheme="majorHAnsi"/>
                <w:color w:val="000000"/>
              </w:rPr>
            </w:pPr>
            <w:r>
              <w:rPr>
                <w:rFonts w:asciiTheme="majorHAnsi" w:eastAsia="Calibri" w:hAnsiTheme="majorHAnsi" w:cstheme="majorHAnsi"/>
                <w:color w:val="000000"/>
              </w:rPr>
              <w:t>$486,905.83</w:t>
            </w:r>
          </w:p>
        </w:tc>
        <w:tc>
          <w:tcPr>
            <w:tcW w:w="2181" w:type="dxa"/>
            <w:tcBorders>
              <w:top w:val="nil"/>
              <w:left w:val="nil"/>
              <w:bottom w:val="single" w:sz="4" w:space="0" w:color="000000"/>
              <w:right w:val="single" w:sz="4" w:space="0" w:color="000000"/>
            </w:tcBorders>
            <w:shd w:val="clear" w:color="auto" w:fill="auto"/>
          </w:tcPr>
          <w:p w14:paraId="45EDD637" w14:textId="3DD215C0" w:rsidR="00CE1357" w:rsidRPr="008C5876" w:rsidRDefault="00CE1357" w:rsidP="00137139">
            <w:pPr>
              <w:contextualSpacing w:val="0"/>
              <w:jc w:val="center"/>
              <w:rPr>
                <w:rFonts w:asciiTheme="majorHAnsi" w:eastAsia="Calibri" w:hAnsiTheme="majorHAnsi" w:cstheme="majorHAnsi"/>
                <w:color w:val="000000"/>
              </w:rPr>
            </w:pPr>
          </w:p>
        </w:tc>
      </w:tr>
    </w:tbl>
    <w:p w14:paraId="68F66793" w14:textId="77777777" w:rsidR="001B3269" w:rsidRDefault="001B3269">
      <w:pPr>
        <w:contextualSpacing w:val="0"/>
      </w:pPr>
    </w:p>
    <w:p w14:paraId="145CE246" w14:textId="77777777" w:rsidR="00CE2301" w:rsidRDefault="00CE2301">
      <w:pPr>
        <w:contextualSpacing w:val="0"/>
        <w:jc w:val="both"/>
      </w:pPr>
    </w:p>
    <w:p w14:paraId="4FF06BEF" w14:textId="21EBB3D9" w:rsidR="001B3269" w:rsidRPr="00397BD1" w:rsidRDefault="00CF6B9F">
      <w:pPr>
        <w:contextualSpacing w:val="0"/>
        <w:jc w:val="both"/>
      </w:pPr>
      <w:r w:rsidRPr="00486ABA">
        <w:t xml:space="preserve">The </w:t>
      </w:r>
      <w:r w:rsidR="007E42B9" w:rsidRPr="00486ABA">
        <w:t>City will</w:t>
      </w:r>
      <w:r w:rsidRPr="00486ABA">
        <w:t xml:space="preserve"> work with local service providers to conduct outreach to applicants with </w:t>
      </w:r>
      <w:r w:rsidRPr="00486ABA">
        <w:rPr>
          <w:b/>
        </w:rPr>
        <w:t>special access or functional needs</w:t>
      </w:r>
      <w:r w:rsidRPr="00486ABA">
        <w:t xml:space="preserve"> including disabled persons and elderly persons to help meet the following funding goals based on the C</w:t>
      </w:r>
      <w:r w:rsidR="00397BD1" w:rsidRPr="00486ABA">
        <w:t>ity</w:t>
      </w:r>
      <w:r w:rsidRPr="00486ABA">
        <w:t>’</w:t>
      </w:r>
      <w:r w:rsidR="00633D32">
        <w:t>s overall demographic profile: 8.8</w:t>
      </w:r>
      <w:r w:rsidRPr="00486ABA">
        <w:t>% house</w:t>
      </w:r>
      <w:r w:rsidR="00633D32">
        <w:t>holds with a disabled member, 10.4</w:t>
      </w:r>
      <w:r w:rsidRPr="00486ABA">
        <w:t>% households with an elderly member</w:t>
      </w:r>
      <w:r w:rsidR="005E73BF">
        <w:rPr>
          <w:rStyle w:val="FootnoteReference"/>
        </w:rPr>
        <w:footnoteReference w:id="3"/>
      </w:r>
      <w:r w:rsidRPr="00486ABA">
        <w:t>.</w:t>
      </w:r>
    </w:p>
    <w:p w14:paraId="5569A17D" w14:textId="77777777" w:rsidR="001B3269" w:rsidRPr="00397BD1" w:rsidRDefault="001B3269">
      <w:pPr>
        <w:contextualSpacing w:val="0"/>
        <w:jc w:val="both"/>
      </w:pPr>
    </w:p>
    <w:p w14:paraId="0E767BBC" w14:textId="6CEB0C89" w:rsidR="001B3269" w:rsidRDefault="001B3269">
      <w:pPr>
        <w:contextualSpacing w:val="0"/>
        <w:rPr>
          <w:highlight w:val="white"/>
        </w:rPr>
      </w:pPr>
    </w:p>
    <w:sectPr w:rsidR="001B3269">
      <w:headerReference w:type="default" r:id="rId9"/>
      <w:foot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D725D" w14:textId="77777777" w:rsidR="00C74ABB" w:rsidRDefault="00C74ABB">
      <w:pPr>
        <w:spacing w:line="240" w:lineRule="auto"/>
      </w:pPr>
      <w:r>
        <w:separator/>
      </w:r>
    </w:p>
  </w:endnote>
  <w:endnote w:type="continuationSeparator" w:id="0">
    <w:p w14:paraId="6828D35E" w14:textId="77777777" w:rsidR="00C74ABB" w:rsidRDefault="00C74A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93B8C" w14:textId="2911DB45" w:rsidR="001B3269" w:rsidRDefault="001B3269">
    <w:pPr>
      <w:contextualSpacing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F6369" w14:textId="77777777" w:rsidR="00C74ABB" w:rsidRDefault="00C74ABB">
      <w:pPr>
        <w:spacing w:line="240" w:lineRule="auto"/>
      </w:pPr>
      <w:r>
        <w:separator/>
      </w:r>
    </w:p>
  </w:footnote>
  <w:footnote w:type="continuationSeparator" w:id="0">
    <w:p w14:paraId="1EEBA1E7" w14:textId="77777777" w:rsidR="00C74ABB" w:rsidRDefault="00C74ABB">
      <w:pPr>
        <w:spacing w:line="240" w:lineRule="auto"/>
      </w:pPr>
      <w:r>
        <w:continuationSeparator/>
      </w:r>
    </w:p>
  </w:footnote>
  <w:footnote w:id="1">
    <w:p w14:paraId="0E86FCF7" w14:textId="707DB72B" w:rsidR="00370C83" w:rsidRPr="00370C83" w:rsidRDefault="00370C83">
      <w:pPr>
        <w:pStyle w:val="FootnoteText"/>
        <w:rPr>
          <w:lang w:val="en-US"/>
        </w:rPr>
      </w:pPr>
      <w:r>
        <w:rPr>
          <w:rStyle w:val="FootnoteReference"/>
        </w:rPr>
        <w:footnoteRef/>
      </w:r>
      <w:r>
        <w:t xml:space="preserve"> </w:t>
      </w:r>
      <w:hyperlink r:id="rId1" w:history="1">
        <w:r>
          <w:rPr>
            <w:rStyle w:val="Hyperlink"/>
          </w:rPr>
          <w:t>https://www.cdc.gov/cpr/readiness/stories/tx.htm</w:t>
        </w:r>
      </w:hyperlink>
    </w:p>
  </w:footnote>
  <w:footnote w:id="2">
    <w:p w14:paraId="7A7C83B8" w14:textId="09544E5D" w:rsidR="00EA3019" w:rsidRPr="00F8162A" w:rsidRDefault="00EA3019">
      <w:pPr>
        <w:pStyle w:val="FootnoteText"/>
        <w:rPr>
          <w:lang w:val="en-US"/>
        </w:rPr>
      </w:pPr>
      <w:r>
        <w:rPr>
          <w:rStyle w:val="FootnoteReference"/>
        </w:rPr>
        <w:footnoteRef/>
      </w:r>
      <w:r>
        <w:t xml:space="preserve"> </w:t>
      </w:r>
      <w:hyperlink r:id="rId2" w:history="1">
        <w:r>
          <w:rPr>
            <w:rStyle w:val="Hyperlink"/>
          </w:rPr>
          <w:t>https://spacecityweather.com/houston-wettest-months-record/</w:t>
        </w:r>
      </w:hyperlink>
    </w:p>
  </w:footnote>
  <w:footnote w:id="3">
    <w:p w14:paraId="5100CE68" w14:textId="56039368" w:rsidR="005E73BF" w:rsidRPr="005E73BF" w:rsidRDefault="005E73BF">
      <w:pPr>
        <w:pStyle w:val="FootnoteText"/>
        <w:rPr>
          <w:lang w:val="en-US"/>
        </w:rPr>
      </w:pPr>
      <w:r>
        <w:rPr>
          <w:rStyle w:val="FootnoteReference"/>
        </w:rPr>
        <w:footnoteRef/>
      </w:r>
      <w:r>
        <w:t xml:space="preserve"> </w:t>
      </w:r>
      <w:hyperlink r:id="rId3" w:history="1">
        <w:r>
          <w:rPr>
            <w:rStyle w:val="Hyperlink"/>
          </w:rPr>
          <w:t>https://www.census.gov/quickfacts/brookshirecitytexas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04285" w14:textId="77777777" w:rsidR="001B3269" w:rsidRDefault="001B3269">
    <w:pPr>
      <w:contextualSpacing w:val="0"/>
      <w:jc w:val="center"/>
      <w:rPr>
        <w:b/>
        <w:color w:val="FF0000"/>
        <w:sz w:val="60"/>
        <w:szCs w:val="6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C63634"/>
    <w:multiLevelType w:val="multilevel"/>
    <w:tmpl w:val="5F22F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269"/>
    <w:rsid w:val="00006B2F"/>
    <w:rsid w:val="000606E8"/>
    <w:rsid w:val="00072D02"/>
    <w:rsid w:val="00075D18"/>
    <w:rsid w:val="00080165"/>
    <w:rsid w:val="000837DA"/>
    <w:rsid w:val="00091941"/>
    <w:rsid w:val="000A4793"/>
    <w:rsid w:val="000B226D"/>
    <w:rsid w:val="000B334F"/>
    <w:rsid w:val="000C25BA"/>
    <w:rsid w:val="000D2C34"/>
    <w:rsid w:val="000E13E9"/>
    <w:rsid w:val="000E6E94"/>
    <w:rsid w:val="001000CC"/>
    <w:rsid w:val="001127EE"/>
    <w:rsid w:val="001402F6"/>
    <w:rsid w:val="0014160A"/>
    <w:rsid w:val="00151CB3"/>
    <w:rsid w:val="0015687E"/>
    <w:rsid w:val="001631DA"/>
    <w:rsid w:val="00171FF8"/>
    <w:rsid w:val="00185377"/>
    <w:rsid w:val="0019332F"/>
    <w:rsid w:val="001A357D"/>
    <w:rsid w:val="001B3269"/>
    <w:rsid w:val="001C1785"/>
    <w:rsid w:val="001C520A"/>
    <w:rsid w:val="001D5DDE"/>
    <w:rsid w:val="001E5097"/>
    <w:rsid w:val="00203E47"/>
    <w:rsid w:val="00211CF2"/>
    <w:rsid w:val="00222844"/>
    <w:rsid w:val="0029286F"/>
    <w:rsid w:val="002C6BBB"/>
    <w:rsid w:val="002E09CF"/>
    <w:rsid w:val="002F627F"/>
    <w:rsid w:val="00322D2E"/>
    <w:rsid w:val="00330341"/>
    <w:rsid w:val="003341CF"/>
    <w:rsid w:val="00334372"/>
    <w:rsid w:val="00370C83"/>
    <w:rsid w:val="00397BD1"/>
    <w:rsid w:val="003D4DBA"/>
    <w:rsid w:val="003E4722"/>
    <w:rsid w:val="00440446"/>
    <w:rsid w:val="00462C85"/>
    <w:rsid w:val="004702C3"/>
    <w:rsid w:val="00471741"/>
    <w:rsid w:val="004724F6"/>
    <w:rsid w:val="0047785E"/>
    <w:rsid w:val="00485056"/>
    <w:rsid w:val="00486ABA"/>
    <w:rsid w:val="004963CA"/>
    <w:rsid w:val="004A4A36"/>
    <w:rsid w:val="004B50FB"/>
    <w:rsid w:val="004C2A36"/>
    <w:rsid w:val="004C3790"/>
    <w:rsid w:val="004D2EBB"/>
    <w:rsid w:val="004D3073"/>
    <w:rsid w:val="004F6CF4"/>
    <w:rsid w:val="00522AEF"/>
    <w:rsid w:val="00533A19"/>
    <w:rsid w:val="005416D3"/>
    <w:rsid w:val="00546EF5"/>
    <w:rsid w:val="00554EA8"/>
    <w:rsid w:val="0058171C"/>
    <w:rsid w:val="005A07E6"/>
    <w:rsid w:val="005A6EE6"/>
    <w:rsid w:val="005B18CD"/>
    <w:rsid w:val="005D382D"/>
    <w:rsid w:val="005E1010"/>
    <w:rsid w:val="005E38C9"/>
    <w:rsid w:val="005E3B0B"/>
    <w:rsid w:val="005E73BF"/>
    <w:rsid w:val="006101A7"/>
    <w:rsid w:val="006146AB"/>
    <w:rsid w:val="00633D32"/>
    <w:rsid w:val="00644F25"/>
    <w:rsid w:val="006569F6"/>
    <w:rsid w:val="00656E93"/>
    <w:rsid w:val="00671716"/>
    <w:rsid w:val="00673E0B"/>
    <w:rsid w:val="006833DA"/>
    <w:rsid w:val="006903D2"/>
    <w:rsid w:val="006A1EA4"/>
    <w:rsid w:val="006E3879"/>
    <w:rsid w:val="006F11AB"/>
    <w:rsid w:val="006F7DD1"/>
    <w:rsid w:val="00712166"/>
    <w:rsid w:val="0073098D"/>
    <w:rsid w:val="00734E60"/>
    <w:rsid w:val="00737884"/>
    <w:rsid w:val="00783E89"/>
    <w:rsid w:val="007E42B9"/>
    <w:rsid w:val="007E764D"/>
    <w:rsid w:val="007F38D0"/>
    <w:rsid w:val="008077BA"/>
    <w:rsid w:val="00815D2E"/>
    <w:rsid w:val="0083350B"/>
    <w:rsid w:val="008442EC"/>
    <w:rsid w:val="00856AAD"/>
    <w:rsid w:val="00864150"/>
    <w:rsid w:val="008978FD"/>
    <w:rsid w:val="008B553D"/>
    <w:rsid w:val="008C5876"/>
    <w:rsid w:val="008D50FA"/>
    <w:rsid w:val="008E7229"/>
    <w:rsid w:val="009230BD"/>
    <w:rsid w:val="009275E3"/>
    <w:rsid w:val="00943E65"/>
    <w:rsid w:val="00954A22"/>
    <w:rsid w:val="0095721B"/>
    <w:rsid w:val="0097108F"/>
    <w:rsid w:val="009940B3"/>
    <w:rsid w:val="0099700B"/>
    <w:rsid w:val="009C351F"/>
    <w:rsid w:val="009C3EC2"/>
    <w:rsid w:val="009C5FCD"/>
    <w:rsid w:val="009E559B"/>
    <w:rsid w:val="009F48AF"/>
    <w:rsid w:val="00A048A6"/>
    <w:rsid w:val="00A12C1E"/>
    <w:rsid w:val="00A1312A"/>
    <w:rsid w:val="00A4515B"/>
    <w:rsid w:val="00A471E7"/>
    <w:rsid w:val="00A64B2D"/>
    <w:rsid w:val="00A829F0"/>
    <w:rsid w:val="00AA76C5"/>
    <w:rsid w:val="00AB72A6"/>
    <w:rsid w:val="00AD49D0"/>
    <w:rsid w:val="00AE7674"/>
    <w:rsid w:val="00B01193"/>
    <w:rsid w:val="00B065E1"/>
    <w:rsid w:val="00B0708D"/>
    <w:rsid w:val="00B33B00"/>
    <w:rsid w:val="00B54772"/>
    <w:rsid w:val="00BA0A14"/>
    <w:rsid w:val="00BA3ADE"/>
    <w:rsid w:val="00BA755A"/>
    <w:rsid w:val="00BB7AB7"/>
    <w:rsid w:val="00BD2077"/>
    <w:rsid w:val="00BF0341"/>
    <w:rsid w:val="00C06C7A"/>
    <w:rsid w:val="00C129A6"/>
    <w:rsid w:val="00C23220"/>
    <w:rsid w:val="00C40D99"/>
    <w:rsid w:val="00C5254D"/>
    <w:rsid w:val="00C74ABB"/>
    <w:rsid w:val="00C8232C"/>
    <w:rsid w:val="00C9782D"/>
    <w:rsid w:val="00CA7832"/>
    <w:rsid w:val="00CB2442"/>
    <w:rsid w:val="00CB53BE"/>
    <w:rsid w:val="00CC1ED6"/>
    <w:rsid w:val="00CD18DA"/>
    <w:rsid w:val="00CE1357"/>
    <w:rsid w:val="00CE2301"/>
    <w:rsid w:val="00CF387F"/>
    <w:rsid w:val="00CF6B9F"/>
    <w:rsid w:val="00CF7B03"/>
    <w:rsid w:val="00D5148E"/>
    <w:rsid w:val="00D60DA1"/>
    <w:rsid w:val="00D66D86"/>
    <w:rsid w:val="00D7341F"/>
    <w:rsid w:val="00D742B6"/>
    <w:rsid w:val="00D92A5C"/>
    <w:rsid w:val="00DD248F"/>
    <w:rsid w:val="00DE3BB9"/>
    <w:rsid w:val="00E03107"/>
    <w:rsid w:val="00E032C0"/>
    <w:rsid w:val="00E0577D"/>
    <w:rsid w:val="00E05FBA"/>
    <w:rsid w:val="00E15397"/>
    <w:rsid w:val="00E16BA1"/>
    <w:rsid w:val="00E31920"/>
    <w:rsid w:val="00E6606D"/>
    <w:rsid w:val="00E66912"/>
    <w:rsid w:val="00E765E7"/>
    <w:rsid w:val="00E87B3B"/>
    <w:rsid w:val="00EA0200"/>
    <w:rsid w:val="00EA101E"/>
    <w:rsid w:val="00EA3019"/>
    <w:rsid w:val="00EB521D"/>
    <w:rsid w:val="00EB564F"/>
    <w:rsid w:val="00ED2057"/>
    <w:rsid w:val="00ED4CFF"/>
    <w:rsid w:val="00EE75A6"/>
    <w:rsid w:val="00F105F2"/>
    <w:rsid w:val="00F21C76"/>
    <w:rsid w:val="00F8162A"/>
    <w:rsid w:val="00FA4446"/>
    <w:rsid w:val="00FB77A5"/>
    <w:rsid w:val="00FD2D4E"/>
    <w:rsid w:val="00FE2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7C49B"/>
  <w15:docId w15:val="{8CA961F0-C730-46D2-85F7-5A04C555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05F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FBA"/>
    <w:rPr>
      <w:rFonts w:ascii="Segoe UI" w:hAnsi="Segoe UI" w:cs="Segoe UI"/>
      <w:sz w:val="18"/>
      <w:szCs w:val="18"/>
    </w:rPr>
  </w:style>
  <w:style w:type="paragraph" w:styleId="EndnoteText">
    <w:name w:val="endnote text"/>
    <w:basedOn w:val="Normal"/>
    <w:link w:val="EndnoteTextChar"/>
    <w:uiPriority w:val="99"/>
    <w:semiHidden/>
    <w:unhideWhenUsed/>
    <w:rsid w:val="000E13E9"/>
    <w:pPr>
      <w:spacing w:line="240" w:lineRule="auto"/>
    </w:pPr>
    <w:rPr>
      <w:sz w:val="20"/>
      <w:szCs w:val="20"/>
    </w:rPr>
  </w:style>
  <w:style w:type="character" w:customStyle="1" w:styleId="EndnoteTextChar">
    <w:name w:val="Endnote Text Char"/>
    <w:basedOn w:val="DefaultParagraphFont"/>
    <w:link w:val="EndnoteText"/>
    <w:uiPriority w:val="99"/>
    <w:semiHidden/>
    <w:rsid w:val="000E13E9"/>
    <w:rPr>
      <w:sz w:val="20"/>
      <w:szCs w:val="20"/>
    </w:rPr>
  </w:style>
  <w:style w:type="character" w:styleId="EndnoteReference">
    <w:name w:val="endnote reference"/>
    <w:basedOn w:val="DefaultParagraphFont"/>
    <w:uiPriority w:val="99"/>
    <w:semiHidden/>
    <w:unhideWhenUsed/>
    <w:rsid w:val="000E13E9"/>
    <w:rPr>
      <w:vertAlign w:val="superscript"/>
    </w:rPr>
  </w:style>
  <w:style w:type="paragraph" w:styleId="FootnoteText">
    <w:name w:val="footnote text"/>
    <w:basedOn w:val="Normal"/>
    <w:link w:val="FootnoteTextChar"/>
    <w:uiPriority w:val="99"/>
    <w:semiHidden/>
    <w:unhideWhenUsed/>
    <w:rsid w:val="000E13E9"/>
    <w:pPr>
      <w:spacing w:line="240" w:lineRule="auto"/>
    </w:pPr>
    <w:rPr>
      <w:sz w:val="20"/>
      <w:szCs w:val="20"/>
    </w:rPr>
  </w:style>
  <w:style w:type="character" w:customStyle="1" w:styleId="FootnoteTextChar">
    <w:name w:val="Footnote Text Char"/>
    <w:basedOn w:val="DefaultParagraphFont"/>
    <w:link w:val="FootnoteText"/>
    <w:uiPriority w:val="99"/>
    <w:semiHidden/>
    <w:rsid w:val="000E13E9"/>
    <w:rPr>
      <w:sz w:val="20"/>
      <w:szCs w:val="20"/>
    </w:rPr>
  </w:style>
  <w:style w:type="character" w:styleId="FootnoteReference">
    <w:name w:val="footnote reference"/>
    <w:basedOn w:val="DefaultParagraphFont"/>
    <w:uiPriority w:val="99"/>
    <w:semiHidden/>
    <w:unhideWhenUsed/>
    <w:rsid w:val="000E13E9"/>
    <w:rPr>
      <w:vertAlign w:val="superscript"/>
    </w:rPr>
  </w:style>
  <w:style w:type="character" w:styleId="Hyperlink">
    <w:name w:val="Hyperlink"/>
    <w:basedOn w:val="DefaultParagraphFont"/>
    <w:uiPriority w:val="99"/>
    <w:semiHidden/>
    <w:unhideWhenUsed/>
    <w:rsid w:val="000E13E9"/>
    <w:rPr>
      <w:color w:val="0000FF"/>
      <w:u w:val="single"/>
    </w:rPr>
  </w:style>
  <w:style w:type="character" w:styleId="CommentReference">
    <w:name w:val="annotation reference"/>
    <w:basedOn w:val="DefaultParagraphFont"/>
    <w:uiPriority w:val="99"/>
    <w:semiHidden/>
    <w:unhideWhenUsed/>
    <w:rsid w:val="00AA76C5"/>
    <w:rPr>
      <w:sz w:val="16"/>
      <w:szCs w:val="16"/>
    </w:rPr>
  </w:style>
  <w:style w:type="paragraph" w:styleId="CommentText">
    <w:name w:val="annotation text"/>
    <w:basedOn w:val="Normal"/>
    <w:link w:val="CommentTextChar"/>
    <w:uiPriority w:val="99"/>
    <w:semiHidden/>
    <w:unhideWhenUsed/>
    <w:rsid w:val="00AA76C5"/>
    <w:pPr>
      <w:spacing w:line="240" w:lineRule="auto"/>
    </w:pPr>
    <w:rPr>
      <w:sz w:val="20"/>
      <w:szCs w:val="20"/>
    </w:rPr>
  </w:style>
  <w:style w:type="character" w:customStyle="1" w:styleId="CommentTextChar">
    <w:name w:val="Comment Text Char"/>
    <w:basedOn w:val="DefaultParagraphFont"/>
    <w:link w:val="CommentText"/>
    <w:uiPriority w:val="99"/>
    <w:semiHidden/>
    <w:rsid w:val="00AA76C5"/>
    <w:rPr>
      <w:sz w:val="20"/>
      <w:szCs w:val="20"/>
    </w:rPr>
  </w:style>
  <w:style w:type="paragraph" w:styleId="CommentSubject">
    <w:name w:val="annotation subject"/>
    <w:basedOn w:val="CommentText"/>
    <w:next w:val="CommentText"/>
    <w:link w:val="CommentSubjectChar"/>
    <w:uiPriority w:val="99"/>
    <w:semiHidden/>
    <w:unhideWhenUsed/>
    <w:rsid w:val="00AA76C5"/>
    <w:rPr>
      <w:b/>
      <w:bCs/>
    </w:rPr>
  </w:style>
  <w:style w:type="character" w:customStyle="1" w:styleId="CommentSubjectChar">
    <w:name w:val="Comment Subject Char"/>
    <w:basedOn w:val="CommentTextChar"/>
    <w:link w:val="CommentSubject"/>
    <w:uiPriority w:val="99"/>
    <w:semiHidden/>
    <w:rsid w:val="00AA76C5"/>
    <w:rPr>
      <w:b/>
      <w:bCs/>
      <w:sz w:val="20"/>
      <w:szCs w:val="20"/>
    </w:rPr>
  </w:style>
  <w:style w:type="paragraph" w:styleId="Header">
    <w:name w:val="header"/>
    <w:basedOn w:val="Normal"/>
    <w:link w:val="HeaderChar"/>
    <w:uiPriority w:val="99"/>
    <w:unhideWhenUsed/>
    <w:rsid w:val="00072D02"/>
    <w:pPr>
      <w:tabs>
        <w:tab w:val="center" w:pos="4680"/>
        <w:tab w:val="right" w:pos="9360"/>
      </w:tabs>
      <w:spacing w:line="240" w:lineRule="auto"/>
    </w:pPr>
  </w:style>
  <w:style w:type="character" w:customStyle="1" w:styleId="HeaderChar">
    <w:name w:val="Header Char"/>
    <w:basedOn w:val="DefaultParagraphFont"/>
    <w:link w:val="Header"/>
    <w:uiPriority w:val="99"/>
    <w:rsid w:val="00072D02"/>
  </w:style>
  <w:style w:type="paragraph" w:styleId="Footer">
    <w:name w:val="footer"/>
    <w:basedOn w:val="Normal"/>
    <w:link w:val="FooterChar"/>
    <w:uiPriority w:val="99"/>
    <w:unhideWhenUsed/>
    <w:rsid w:val="00072D02"/>
    <w:pPr>
      <w:tabs>
        <w:tab w:val="center" w:pos="4680"/>
        <w:tab w:val="right" w:pos="9360"/>
      </w:tabs>
      <w:spacing w:line="240" w:lineRule="auto"/>
    </w:pPr>
  </w:style>
  <w:style w:type="character" w:customStyle="1" w:styleId="FooterChar">
    <w:name w:val="Footer Char"/>
    <w:basedOn w:val="DefaultParagraphFont"/>
    <w:link w:val="Footer"/>
    <w:uiPriority w:val="99"/>
    <w:rsid w:val="00072D02"/>
  </w:style>
  <w:style w:type="character" w:styleId="Strong">
    <w:name w:val="Strong"/>
    <w:basedOn w:val="DefaultParagraphFont"/>
    <w:uiPriority w:val="22"/>
    <w:qFormat/>
    <w:rsid w:val="00080165"/>
    <w:rPr>
      <w:b/>
      <w:bCs/>
    </w:rPr>
  </w:style>
  <w:style w:type="character" w:styleId="FollowedHyperlink">
    <w:name w:val="FollowedHyperlink"/>
    <w:basedOn w:val="DefaultParagraphFont"/>
    <w:uiPriority w:val="99"/>
    <w:semiHidden/>
    <w:unhideWhenUsed/>
    <w:rsid w:val="00A64B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668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ensus.gov/quickfacts/brookshirecitytexas" TargetMode="External"/><Relationship Id="rId2" Type="http://schemas.openxmlformats.org/officeDocument/2006/relationships/hyperlink" Target="https://spacecityweather.com/houston-wettest-months-record/" TargetMode="External"/><Relationship Id="rId1" Type="http://schemas.openxmlformats.org/officeDocument/2006/relationships/hyperlink" Target="https://www.cdc.gov/cpr/readiness/stories/t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BCC48-277B-4805-8C8A-7506AC840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Birks</dc:creator>
  <cp:lastModifiedBy>Tanya Birks</cp:lastModifiedBy>
  <cp:revision>2</cp:revision>
  <cp:lastPrinted>2019-06-03T20:34:00Z</cp:lastPrinted>
  <dcterms:created xsi:type="dcterms:W3CDTF">2019-09-24T17:05:00Z</dcterms:created>
  <dcterms:modified xsi:type="dcterms:W3CDTF">2019-09-24T17:05:00Z</dcterms:modified>
</cp:coreProperties>
</file>